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rPr/>
      </w:pPr>
      <w:r>
        <w:rPr/>
        <w:drawing>
          <wp:inline distT="0" distB="0" distL="0" distR="0">
            <wp:extent cx="1984375" cy="72961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1984375" cy="729615"/>
                    </a:xfrm>
                    <a:prstGeom prst="rect">
                      <a:avLst/>
                    </a:prstGeom>
                    <a:noFill/>
                  </pic:spPr>
                </pic:pic>
              </a:graphicData>
            </a:graphic>
          </wp:inline>
        </w:drawing>
      </w:r>
      <w:r>
        <w:rPr/>
        <w:t xml:space="preserve">                                                                                                                                        </w:t>
      </w:r>
    </w:p>
    <w:p>
      <w:pPr>
        <w:pStyle w:val="NoSpacing"/>
        <w:rPr/>
      </w:pPr>
      <w:r>
        <w:rPr/>
      </w:r>
    </w:p>
    <w:p>
      <w:pPr>
        <w:pStyle w:val="NoSpacing"/>
        <w:jc w:val="right"/>
        <w:rPr>
          <w:rFonts w:ascii="Times New Roman" w:hAnsi="Times New Roman" w:cs="Times New Roman"/>
          <w:b/>
          <w:sz w:val="26"/>
          <w:szCs w:val="26"/>
        </w:rPr>
      </w:pPr>
      <w:r>
        <w:rPr>
          <w:rFonts w:cs="Times New Roman" w:ascii="Times New Roman" w:hAnsi="Times New Roman"/>
          <w:b/>
          <w:sz w:val="26"/>
          <w:szCs w:val="26"/>
        </w:rPr>
        <w:t>27.04.2026</w:t>
      </w:r>
    </w:p>
    <w:p>
      <w:pPr>
        <w:pStyle w:val="Normal"/>
        <w:widowControl w:val="false"/>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Пресс-служба Управления</w:t>
      </w:r>
    </w:p>
    <w:p>
      <w:pPr>
        <w:pStyle w:val="Normal"/>
        <w:widowControl w:val="false"/>
        <w:spacing w:lineRule="auto" w:line="240" w:before="0" w:after="0"/>
        <w:rPr>
          <w:rFonts w:ascii="Times New Roman" w:hAnsi="Times New Roman" w:eastAsia="Calibri" w:cs="Times New Roman"/>
          <w:sz w:val="28"/>
          <w:szCs w:val="28"/>
          <w:lang w:eastAsia="en-US"/>
        </w:rPr>
      </w:pPr>
      <w:r>
        <w:rPr>
          <w:rFonts w:eastAsia="Calibri" w:cs="Times New Roman" w:ascii="Times New Roman" w:hAnsi="Times New Roman"/>
          <w:sz w:val="28"/>
          <w:szCs w:val="28"/>
          <w:lang w:eastAsia="en-US"/>
        </w:rPr>
        <w:t>Росреестра по Приморскому краю</w:t>
      </w:r>
    </w:p>
    <w:p>
      <w:pPr>
        <w:pStyle w:val="Normal"/>
        <w:widowControl w:val="false"/>
        <w:spacing w:lineRule="auto" w:line="240" w:before="0" w:after="0"/>
        <w:rPr>
          <w:rFonts w:ascii="Times New Roman" w:hAnsi="Times New Roman" w:cs="Times New Roman"/>
          <w:sz w:val="24"/>
          <w:szCs w:val="24"/>
        </w:rPr>
      </w:pPr>
      <w:r>
        <w:rPr>
          <w:rFonts w:eastAsia="Calibri" w:cs="Times New Roman" w:ascii="Times New Roman" w:hAnsi="Times New Roman"/>
          <w:sz w:val="28"/>
          <w:szCs w:val="28"/>
          <w:lang w:eastAsia="en-US"/>
        </w:rPr>
        <w:t>+7</w:t>
      </w:r>
      <w:r>
        <w:rPr>
          <w:rFonts w:eastAsia="Calibri" w:cs="Times New Roman" w:ascii="Times New Roman" w:hAnsi="Times New Roman"/>
          <w:sz w:val="28"/>
          <w:szCs w:val="28"/>
          <w:lang w:val="en-US" w:eastAsia="en-US"/>
        </w:rPr>
        <w:t> </w:t>
      </w:r>
      <w:r>
        <w:rPr>
          <w:rFonts w:eastAsia="Calibri" w:cs="Times New Roman" w:ascii="Times New Roman" w:hAnsi="Times New Roman"/>
          <w:sz w:val="28"/>
          <w:szCs w:val="28"/>
          <w:lang w:eastAsia="en-US"/>
        </w:rPr>
        <w:t>(423)</w:t>
      </w:r>
      <w:r>
        <w:rPr>
          <w:rFonts w:eastAsia="Calibri" w:cs="Times New Roman" w:ascii="Times New Roman" w:hAnsi="Times New Roman"/>
          <w:sz w:val="28"/>
          <w:szCs w:val="28"/>
          <w:lang w:val="en-US" w:eastAsia="en-US"/>
        </w:rPr>
        <w:t> </w:t>
      </w:r>
      <w:r>
        <w:rPr>
          <w:rFonts w:eastAsia="Calibri" w:cs="Times New Roman" w:ascii="Times New Roman" w:hAnsi="Times New Roman"/>
          <w:sz w:val="28"/>
          <w:szCs w:val="28"/>
          <w:lang w:eastAsia="en-US"/>
        </w:rPr>
        <w:t>245-49-23, доб. 1088</w:t>
      </w:r>
      <w:r>
        <w:rPr>
          <w:rFonts w:eastAsia="Times New Roman" w:cs="Times New Roman" w:ascii="Times New Roman" w:hAnsi="Times New Roman"/>
          <w:sz w:val="24"/>
          <w:szCs w:val="24"/>
          <w:shd w:fill="FFFFFF" w:val="clear"/>
        </w:rPr>
        <w:br/>
      </w:r>
      <w:r>
        <w:rPr>
          <w:rFonts w:eastAsia="Times New Roman" w:cs="Times New Roman" w:ascii="Times New Roman" w:hAnsi="Times New Roman"/>
          <w:sz w:val="24"/>
          <w:szCs w:val="24"/>
        </w:rPr>
        <w:t>25press_rosreestr@mail.ru</w:t>
      </w:r>
    </w:p>
    <w:p>
      <w:pPr>
        <w:pStyle w:val="Normal"/>
        <w:spacing w:lineRule="auto" w:line="240" w:before="0" w:after="0"/>
        <w:rPr>
          <w:rFonts w:ascii="Times New Roman" w:hAnsi="Times New Roman" w:cs="Times New Roman"/>
          <w:sz w:val="24"/>
          <w:szCs w:val="24"/>
          <w:highlight w:val="none"/>
        </w:rPr>
      </w:pPr>
      <w:r>
        <w:rPr>
          <w:rFonts w:eastAsia="Calibri" w:cs="Times New Roman" w:ascii="Times New Roman" w:hAnsi="Times New Roman"/>
          <w:sz w:val="24"/>
          <w:szCs w:val="24"/>
          <w:lang w:eastAsia="en-US"/>
        </w:rPr>
        <w:t xml:space="preserve">690091, Владивосток, ул. Посьетская, д. </w:t>
      </w:r>
      <w:r>
        <w:rPr>
          <w:rFonts w:cs="Times New Roman" w:ascii="Times New Roman" w:hAnsi="Times New Roman"/>
          <w:sz w:val="24"/>
          <w:szCs w:val="24"/>
        </w:rPr>
        <w:t>48</w:t>
      </w:r>
    </w:p>
    <w:p>
      <w:pPr>
        <w:pStyle w:val="Normal"/>
        <w:spacing w:lineRule="auto" w:line="240" w:before="0" w:after="0"/>
        <w:rPr>
          <w:rFonts w:ascii="Times New Roman" w:hAnsi="Times New Roman" w:cs="Times New Roman"/>
          <w:sz w:val="36"/>
          <w:szCs w:val="36"/>
          <w:highlight w:val="none"/>
        </w:rPr>
      </w:pPr>
      <w:r>
        <w:rPr>
          <w:rFonts w:cs="Times New Roman" w:ascii="Times New Roman" w:hAnsi="Times New Roman"/>
          <w:sz w:val="36"/>
          <w:szCs w:val="36"/>
        </w:rPr>
      </w:r>
    </w:p>
    <w:p>
      <w:pPr>
        <w:pStyle w:val="Normal"/>
        <w:spacing w:lineRule="auto" w:line="240" w:beforeAutospacing="0" w:before="0" w:afterAutospacing="0" w:after="0"/>
        <w:jc w:val="both"/>
        <w:rPr>
          <w:rFonts w:ascii="Nimbus Roman" w:hAnsi="Nimbus Roman" w:cs="Nimbus Roman"/>
          <w:b/>
          <w:bCs w:val="false"/>
          <w:i w:val="false"/>
          <w:i w:val="false"/>
          <w:color w:val="273350"/>
          <w:sz w:val="36"/>
          <w:szCs w:val="36"/>
          <w:highlight w:val="none"/>
          <w:u w:val="single"/>
        </w:rPr>
      </w:pPr>
      <w:r>
        <w:rPr>
          <w:rFonts w:cs="Nimbus Roman" w:ascii="Nimbus Roman" w:hAnsi="Nimbus Roman"/>
          <w:b/>
          <w:bCs/>
          <w:i w:val="false"/>
          <w:color w:val="273350"/>
          <w:sz w:val="36"/>
          <w:szCs w:val="36"/>
          <w:highlight w:val="white"/>
          <w:u w:val="single"/>
        </w:rPr>
        <w:t>Приморский Росреестр подготовил Топ-10 профессионалов в сфере кадастровой деятельности – кадастровых инженеров</w:t>
      </w:r>
      <w:r>
        <w:rPr>
          <w:rFonts w:cs="Nimbus Roman" w:ascii="Nimbus Roman" w:hAnsi="Nimbus Roman"/>
          <w:b/>
          <w:bCs/>
          <w:i w:val="false"/>
          <w:color w:val="273350"/>
          <w:sz w:val="36"/>
          <w:szCs w:val="36"/>
          <w:u w:val="single"/>
        </w:rPr>
        <w:t xml:space="preserve"> по итогам 1-го квартала 2026 года.</w:t>
      </w:r>
    </w:p>
    <w:p>
      <w:pPr>
        <w:pStyle w:val="Normal"/>
        <w:spacing w:lineRule="exact" w:line="300" w:beforeAutospacing="0" w:before="0" w:afterAutospacing="0" w:after="0"/>
        <w:jc w:val="both"/>
        <w:rPr>
          <w:rFonts w:ascii="Nimbus Roman" w:hAnsi="Nimbus Roman" w:cs="Nimbus Roman"/>
          <w:b/>
          <w:bCs w:val="false"/>
          <w:i w:val="false"/>
          <w:i w:val="false"/>
          <w:color w:val="273350"/>
          <w:sz w:val="28"/>
          <w:szCs w:val="28"/>
          <w:highlight w:val="white"/>
          <w:u w:val="single"/>
        </w:rPr>
      </w:pPr>
      <w:r>
        <w:rPr>
          <w:rFonts w:cs="Nimbus Roman" w:ascii="Nimbus Roman" w:hAnsi="Nimbus Roman"/>
          <w:b/>
          <w:bCs w:val="false"/>
          <w:i w:val="false"/>
          <w:color w:val="273350"/>
          <w:sz w:val="28"/>
          <w:szCs w:val="28"/>
          <w:highlight w:val="white"/>
          <w:u w:val="single"/>
        </w:rPr>
      </w:r>
    </w:p>
    <w:p>
      <w:pPr>
        <w:pStyle w:val="Normal"/>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 xml:space="preserve">В 1-м квартале 2026 года данными специалистами в орган кадастрового учета направлено наибольшее количество документов, по которым приняты </w:t>
      </w:r>
      <w:r>
        <w:rPr>
          <w:rFonts w:eastAsia="Times New Roman" w:cs="Times New Roman" w:ascii="Times New Roman" w:hAnsi="Times New Roman"/>
          <w:b/>
          <w:bCs/>
          <w:sz w:val="28"/>
          <w:szCs w:val="28"/>
        </w:rPr>
        <w:t>положительные решения.</w:t>
      </w:r>
      <w:r>
        <w:rPr>
          <w:rFonts w:eastAsia="Times New Roman" w:cs="Times New Roman" w:ascii="Times New Roman" w:hAnsi="Times New Roman"/>
          <w:sz w:val="28"/>
          <w:szCs w:val="28"/>
        </w:rPr>
        <w:t xml:space="preserve"> В их число входят: </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Колесникова</w:t>
        <w:tab/>
        <w:t xml:space="preserve">Александра </w:t>
        <w:tab/>
        <w:t>Николаевна - Ассоциация "Саморегулируемая Организация Кадастровых Инженеров" (407 положительных решений);</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Тихонов</w:t>
        <w:tab/>
        <w:t>Александр</w:t>
        <w:tab/>
        <w:t>Сергеевич - Ассоциация "Саморегулируемая Организация Кадастровых Инженеров" (179 положительных решений);</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Калугина Ирина Анатольевна Ассоциация "Саморегулируемая Организация Кадастровых Инженеров" (169 положительных решений);</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 xml:space="preserve">Нарсавидзе </w:t>
        <w:tab/>
        <w:t xml:space="preserve">Елизавета - Ассоциация "Саморегулируемая Организация Кадастровых Инженеров" </w:t>
      </w:r>
      <w:r>
        <w:rPr>
          <w:rFonts w:eastAsia="Times New Roman" w:cs="Times New Roman" w:ascii="Times New Roman" w:hAnsi="Times New Roman"/>
          <w:b w:val="false"/>
          <w:i w:val="false"/>
          <w:strike w:val="false"/>
          <w:dstrike w:val="false"/>
          <w:color w:val="000000"/>
          <w:position w:val="0"/>
          <w:sz w:val="28"/>
          <w:sz w:val="28"/>
          <w:szCs w:val="28"/>
          <w:u w:val="none"/>
          <w:vertAlign w:val="baseline"/>
        </w:rPr>
        <w:t>(162</w:t>
      </w:r>
      <w:r>
        <w:rPr>
          <w:rFonts w:eastAsia="Times New Roman" w:cs="Times New Roman" w:ascii="Times New Roman" w:hAnsi="Times New Roman"/>
          <w:sz w:val="28"/>
          <w:szCs w:val="28"/>
        </w:rPr>
        <w:t xml:space="preserve"> положительных решения);</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Болявин</w:t>
        <w:tab/>
        <w:t>Виктор</w:t>
        <w:tab/>
        <w:t>Олегович</w:t>
        <w:tab/>
        <w:t xml:space="preserve">- </w:t>
        <w:tab/>
        <w:t>Саморегулируемая Организация Ассоциация Кадастровых Инженеров "Содружество" (140 положительных решений);</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Ковтуненко</w:t>
        <w:tab/>
        <w:t>Олег</w:t>
        <w:tab/>
        <w:t>Петрович</w:t>
        <w:tab/>
        <w:t>Ассоциация - "Саморегулируемая организация кадастровых инженеров"</w:t>
        <w:tab/>
        <w:t>(122 положительных решения);</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Родюков</w:t>
        <w:tab/>
        <w:t>Алексей</w:t>
        <w:tab/>
        <w:t>Никонович</w:t>
        <w:tab/>
        <w:t>Ассоциация "Саморегулируемая Организация Кадастровых Инженеров" (104 положительных решения);</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Бойко</w:t>
        <w:tab/>
        <w:t>Елена</w:t>
        <w:tab/>
        <w:t>Владимировна</w:t>
        <w:tab/>
        <w:t>Ассоциация "Саморегулируемая Организация Кадастровых Инженеров"</w:t>
        <w:tab/>
        <w:t>(99 положительных решений);</w:t>
      </w:r>
    </w:p>
    <w:p>
      <w:pPr>
        <w:pStyle w:val="ListParagraph"/>
        <w:numPr>
          <w:ilvl w:val="0"/>
          <w:numId w:val="1"/>
        </w:numPr>
        <w:spacing w:before="0" w:after="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Коноплёв</w:t>
        <w:tab/>
        <w:t>Иван</w:t>
        <w:tab/>
        <w:t xml:space="preserve">Валерьевич </w:t>
        <w:tab/>
        <w:t>Саморегулируемая Организация Ассоциация Кадастровых Инженеров "Содружество"</w:t>
        <w:tab/>
        <w:t xml:space="preserve">(96 положительных решений); </w:t>
      </w:r>
    </w:p>
    <w:p>
      <w:pPr>
        <w:pStyle w:val="ListParagraph"/>
        <w:numPr>
          <w:ilvl w:val="0"/>
          <w:numId w:val="1"/>
        </w:numPr>
        <w:spacing w:before="0" w:after="160"/>
        <w:contextualSpacing/>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Хлевной</w:t>
        <w:tab/>
        <w:t>Сергей</w:t>
        <w:tab/>
        <w:t>Николаевич</w:t>
        <w:tab/>
        <w:t>Ассоциация "Саморегулируемая Организация Кадастровых Инженеров"</w:t>
        <w:tab/>
        <w:t xml:space="preserve">(94 положительных решения). </w:t>
      </w:r>
    </w:p>
    <w:p>
      <w:pPr>
        <w:pStyle w:val="Normal"/>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Важно подчеркнуть, что по представленным этими специалистами документам практически не принимались решения о приостановлении, либо такие случаи единичны.</w:t>
      </w:r>
    </w:p>
    <w:p>
      <w:pPr>
        <w:pStyle w:val="Normal"/>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 xml:space="preserve">Результаты полного анализа размещены на официальном сайте ведомства в открытом доступе: </w:t>
      </w:r>
      <w:hyperlink r:id="rId3" w:tooltip="https://rosreestr.gov.ru/open-service/statistika-i-analitika/reyting-kadastrovykh-inzhenerov-376/">
        <w:r>
          <w:rPr>
            <w:rStyle w:val="Hyperlink"/>
            <w:rFonts w:eastAsia="Times New Roman" w:cs="Times New Roman" w:ascii="Times New Roman" w:hAnsi="Times New Roman"/>
            <w:sz w:val="28"/>
            <w:szCs w:val="28"/>
          </w:rPr>
          <w:t>https://rosreestr.gov.ru/open-service/statistika-i-analitika/reyting-kadastrovykh-inzhenerov-376/</w:t>
        </w:r>
      </w:hyperlink>
      <w:r>
        <w:rPr>
          <w:rFonts w:eastAsia="Times New Roman" w:cs="Times New Roman" w:ascii="Times New Roman" w:hAnsi="Times New Roman"/>
          <w:sz w:val="28"/>
          <w:szCs w:val="28"/>
        </w:rPr>
        <w:t xml:space="preserve">  во вкладке: «Открытая служба» - «Статистика и аналитика» - «Рейтинг кадастровых инженеров Приморского края». </w:t>
      </w:r>
    </w:p>
    <w:p>
      <w:pPr>
        <w:pStyle w:val="Normal"/>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Рейтинг обновляется каждый квартал.</w:t>
      </w:r>
    </w:p>
    <w:p>
      <w:pPr>
        <w:pStyle w:val="Normal"/>
        <w:jc w:val="both"/>
        <w:rPr>
          <w:rFonts w:ascii="Times New Roman" w:hAnsi="Times New Roman" w:eastAsia="Times New Roman" w:cs="Times New Roman"/>
          <w:sz w:val="28"/>
          <w:szCs w:val="28"/>
          <w:highlight w:val="none"/>
        </w:rPr>
      </w:pPr>
      <w:r>
        <w:rPr>
          <w:rFonts w:eastAsia="Times New Roman" w:cs="Times New Roman" w:ascii="Times New Roman" w:hAnsi="Times New Roman"/>
          <w:sz w:val="28"/>
          <w:szCs w:val="28"/>
        </w:rPr>
        <w:t xml:space="preserve">В таблице размещены сведения о принадлежности специалиста к определенной саморегулируемой организации, которая осуществляет контроль за его деятельностью, и уникальный регистрационный номер кадастрового инженера в государственном реестре. </w:t>
      </w:r>
    </w:p>
    <w:p>
      <w:pPr>
        <w:pStyle w:val="Normal"/>
        <w:jc w:val="both"/>
        <w:rPr>
          <w:rFonts w:ascii="Times New Roman" w:hAnsi="Times New Roman" w:cs="Times New Roman"/>
          <w:sz w:val="28"/>
          <w:szCs w:val="28"/>
          <w:highlight w:val="none"/>
        </w:rPr>
      </w:pPr>
      <w:r>
        <w:rPr>
          <w:rFonts w:eastAsia="Times New Roman" w:cs="Times New Roman" w:ascii="Times New Roman" w:hAnsi="Times New Roman"/>
          <w:sz w:val="28"/>
          <w:szCs w:val="28"/>
        </w:rPr>
        <w:t xml:space="preserve">Актуальный статус кадастрового инженера можно проверить на сайте </w:t>
      </w:r>
      <w:hyperlink r:id="rId4" w:tooltip="https://rosreestr.gov.ru/wps/portal/p/cc_ib_portal_services/cc_ib_sro_reestrs">
        <w:r>
          <w:rPr>
            <w:rStyle w:val="Hyperlink"/>
            <w:rFonts w:eastAsia="Times New Roman" w:cs="Times New Roman" w:ascii="Times New Roman" w:hAnsi="Times New Roman"/>
            <w:sz w:val="28"/>
            <w:szCs w:val="28"/>
          </w:rPr>
          <w:t>https://rosreestr.gov.ru/wps/portal/p/cc_ib_portal_services/cc_ib_sro_reestrs</w:t>
        </w:r>
      </w:hyperlink>
      <w:r>
        <w:rPr>
          <w:rFonts w:eastAsia="Times New Roman" w:cs="Times New Roman" w:ascii="Times New Roman" w:hAnsi="Times New Roman"/>
          <w:sz w:val="28"/>
          <w:szCs w:val="28"/>
        </w:rPr>
        <w:t xml:space="preserve"> </w:t>
      </w:r>
    </w:p>
    <w:p>
      <w:pPr>
        <w:pStyle w:val="Normal"/>
        <w:jc w:val="both"/>
        <w:rPr>
          <w:rFonts w:ascii="Times New Roman" w:hAnsi="Times New Roman" w:cs="Times New Roman"/>
          <w:bCs/>
          <w:i/>
          <w:i/>
          <w:sz w:val="28"/>
          <w:szCs w:val="28"/>
          <w:highlight w:val="none"/>
        </w:rPr>
      </w:pPr>
      <w:r>
        <w:rPr>
          <w:rFonts w:cs="Times New Roman" w:ascii="Times New Roman" w:hAnsi="Times New Roman"/>
          <w:i/>
          <w:iCs/>
          <w:sz w:val="28"/>
          <w:szCs w:val="28"/>
        </w:rPr>
        <w:t xml:space="preserve">Наталья Балыш заместитель руководителя Управления Росреестра по Приморскому краю отмечает, что результаты мониторинга профессиональной деятельности кадастровых инженеров позволяют гражданам ориентироваться при выборе специалиста для подготовки технического, межевого плана или акта обследования объекта недвижимости. Наше ведомство обеспечивает своевременное обновление данных, чтобы каждый желающий мог беспрепятственно ознакомиться с актуальными сведениями. </w:t>
      </w:r>
    </w:p>
    <w:p>
      <w:pPr>
        <w:pStyle w:val="Normal"/>
        <w:pBdr/>
        <w:ind w:firstLine="708"/>
        <w:jc w:val="both"/>
        <w:rPr>
          <w:rFonts w:ascii="PT Astra Serif" w:hAnsi="PT Astra Serif" w:eastAsia="PT Astra Serif" w:cs="PT Astra Serif"/>
          <w:b w:val="false"/>
          <w:bCs/>
          <w:i/>
          <w:i/>
          <w:color w:themeColor="text1" w:val="000000"/>
          <w:spacing w:val="6"/>
          <w:sz w:val="28"/>
          <w:szCs w:val="28"/>
          <w:highlight w:val="none"/>
          <w14:ligatures w14:val="none"/>
        </w:rPr>
      </w:pPr>
      <w:r>
        <w:rPr>
          <w:rFonts w:eastAsia="PT Astra Serif" w:cs="PT Astra Serif" w:ascii="PT Astra Serif" w:hAnsi="PT Astra Serif"/>
          <w:b w:val="false"/>
          <w:bCs/>
          <w:i/>
          <w:color w:themeColor="text1" w:val="000000"/>
          <w:spacing w:val="6"/>
          <w:sz w:val="28"/>
          <w:szCs w:val="28"/>
          <w14:ligatures w14:val="none"/>
        </w:rPr>
      </w:r>
    </w:p>
    <w:p>
      <w:pPr>
        <w:pStyle w:val="Normal"/>
        <w:spacing w:before="0" w:after="200"/>
        <w:jc w:val="both"/>
        <w:rPr>
          <w:rFonts w:ascii="Times New Roman" w:hAnsi="Times New Roman" w:eastAsia="Times New Roman" w:cs="Times New Roman"/>
          <w:i/>
          <w:i/>
          <w:iCs/>
          <w:sz w:val="28"/>
          <w:szCs w:val="28"/>
          <w:highlight w:val="none"/>
        </w:rPr>
      </w:pPr>
      <w:r>
        <w:rPr/>
      </w:r>
    </w:p>
    <w:sectPr>
      <w:type w:val="nextPage"/>
      <w:pgSz w:w="11906" w:h="16838"/>
      <w:pgMar w:left="1701" w:right="850" w:gutter="0" w:header="0" w:top="567" w:footer="0" w:bottom="42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Arial">
    <w:charset w:val="01"/>
    <w:family w:val="roman"/>
    <w:pitch w:val="default"/>
  </w:font>
  <w:font w:name="Segoe UI">
    <w:charset w:val="01"/>
    <w:family w:val="roman"/>
    <w:pitch w:val="default"/>
  </w:font>
  <w:font w:name="PT Astra Serif">
    <w:charset w:val="01"/>
    <w:family w:val="roman"/>
    <w:pitch w:val="default"/>
  </w:font>
  <w:font w:name="Times New Roman">
    <w:charset w:val="01"/>
    <w:family w:val="roman"/>
    <w:pitch w:val="default"/>
  </w:font>
  <w:font w:name="Nimbus Roman">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decimal"/>
      <w:lvlText w:val="%1."/>
      <w:lvlJc w:val="left"/>
      <w:pPr>
        <w:tabs>
          <w:tab w:val="num" w:pos="0"/>
        </w:tabs>
        <w:ind w:left="709" w:hanging="360"/>
      </w:pPr>
      <w:rPr/>
    </w:lvl>
    <w:lvl w:ilvl="1">
      <w:start w:val="1"/>
      <w:isLgl/>
      <w:numFmt w:val="lowerLetter"/>
      <w:lvlText w:val="%2."/>
      <w:lvlJc w:val="left"/>
      <w:pPr>
        <w:tabs>
          <w:tab w:val="num" w:pos="0"/>
        </w:tabs>
        <w:ind w:left="1429" w:hanging="360"/>
      </w:pPr>
      <w:rPr/>
    </w:lvl>
    <w:lvl w:ilvl="2">
      <w:start w:val="1"/>
      <w:isLgl/>
      <w:numFmt w:val="lowerRoman"/>
      <w:lvlText w:val="%3."/>
      <w:lvlJc w:val="right"/>
      <w:pPr>
        <w:tabs>
          <w:tab w:val="num" w:pos="0"/>
        </w:tabs>
        <w:ind w:left="2149" w:hanging="180"/>
      </w:pPr>
      <w:rPr/>
    </w:lvl>
    <w:lvl w:ilvl="3">
      <w:start w:val="1"/>
      <w:isLgl/>
      <w:numFmt w:val="decimal"/>
      <w:lvlText w:val="%4."/>
      <w:lvlJc w:val="left"/>
      <w:pPr>
        <w:tabs>
          <w:tab w:val="num" w:pos="0"/>
        </w:tabs>
        <w:ind w:left="2869" w:hanging="360"/>
      </w:pPr>
      <w:rPr/>
    </w:lvl>
    <w:lvl w:ilvl="4">
      <w:start w:val="1"/>
      <w:isLgl/>
      <w:numFmt w:val="lowerLetter"/>
      <w:lvlText w:val="%5."/>
      <w:lvlJc w:val="left"/>
      <w:pPr>
        <w:tabs>
          <w:tab w:val="num" w:pos="0"/>
        </w:tabs>
        <w:ind w:left="3589" w:hanging="360"/>
      </w:pPr>
      <w:rPr/>
    </w:lvl>
    <w:lvl w:ilvl="5">
      <w:start w:val="1"/>
      <w:isLgl/>
      <w:numFmt w:val="lowerRoman"/>
      <w:lvlText w:val="%6."/>
      <w:lvlJc w:val="right"/>
      <w:pPr>
        <w:tabs>
          <w:tab w:val="num" w:pos="0"/>
        </w:tabs>
        <w:ind w:left="4309" w:hanging="180"/>
      </w:pPr>
      <w:rPr/>
    </w:lvl>
    <w:lvl w:ilvl="6">
      <w:start w:val="1"/>
      <w:isLgl/>
      <w:numFmt w:val="decimal"/>
      <w:lvlText w:val="%7."/>
      <w:lvlJc w:val="left"/>
      <w:pPr>
        <w:tabs>
          <w:tab w:val="num" w:pos="0"/>
        </w:tabs>
        <w:ind w:left="5029" w:hanging="360"/>
      </w:pPr>
      <w:rPr/>
    </w:lvl>
    <w:lvl w:ilvl="7">
      <w:start w:val="1"/>
      <w:isLgl/>
      <w:numFmt w:val="lowerLetter"/>
      <w:lvlText w:val="%8."/>
      <w:lvlJc w:val="left"/>
      <w:pPr>
        <w:tabs>
          <w:tab w:val="num" w:pos="0"/>
        </w:tabs>
        <w:ind w:left="5749" w:hanging="360"/>
      </w:pPr>
      <w:rPr/>
    </w:lvl>
    <w:lvl w:ilvl="8">
      <w:start w:val="1"/>
      <w:isLgl/>
      <w:numFmt w:val="lowerRoman"/>
      <w:lvlText w:val="%9."/>
      <w:lvlJc w:val="right"/>
      <w:pPr>
        <w:tabs>
          <w:tab w:val="num" w:pos="0"/>
        </w:tabs>
        <w:ind w:left="646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left"/>
    </w:pPr>
    <w:rPr>
      <w:rFonts w:eastAsia="Arial" w:eastAsiaTheme="minorEastAsia" w:ascii="Calibri" w:hAnsi="Calibri" w:cs="Arial"/>
      <w:color w:val="auto"/>
      <w:kern w:val="0"/>
      <w:sz w:val="22"/>
      <w:szCs w:val="22"/>
      <w:lang w:eastAsia="ru-RU" w:val="ru-RU" w:bidi="ar-SA"/>
    </w:rPr>
  </w:style>
  <w:style w:type="paragraph" w:styleId="Heading1">
    <w:name w:val="heading 1"/>
    <w:basedOn w:val="Normal"/>
    <w:uiPriority w:val="9"/>
    <w:qFormat/>
    <w:pPr>
      <w:keepNext w:val="true"/>
      <w:keepLines/>
      <w:spacing w:lineRule="auto" w:line="259" w:before="240" w:after="0"/>
      <w:outlineLvl w:val="0"/>
    </w:pPr>
    <w:rPr>
      <w:rFonts w:ascii="Calibri Light" w:hAnsi="Calibri Light" w:eastAsia="Arial" w:cs="Arial" w:asciiTheme="majorHAnsi" w:cstheme="majorBidi" w:eastAsiaTheme="majorEastAsia" w:hAnsiTheme="majorHAnsi"/>
      <w:color w:themeColor="accent1" w:themeShade="bf" w:val="2E74B5"/>
      <w:sz w:val="32"/>
      <w:szCs w:val="32"/>
      <w:lang w:eastAsia="en-US"/>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Style7" w:customStyle="1">
    <w:name w:val="Текст выноски Знак"/>
    <w:basedOn w:val="DefaultParagraphFont"/>
    <w:uiPriority w:val="99"/>
    <w:semiHidden/>
    <w:qFormat/>
    <w:rPr>
      <w:rFonts w:ascii="Segoe UI" w:hAnsi="Segoe UI" w:cs="Segoe UI"/>
      <w:sz w:val="18"/>
      <w:szCs w:val="18"/>
    </w:rPr>
  </w:style>
  <w:style w:type="character" w:styleId="1" w:customStyle="1">
    <w:name w:val="Заголовок 1 Знак"/>
    <w:basedOn w:val="DefaultParagraphFont"/>
    <w:uiPriority w:val="9"/>
    <w:qFormat/>
    <w:rPr>
      <w:rFonts w:ascii="Calibri Light" w:hAnsi="Calibri Light" w:eastAsia="Arial" w:cs="Arial" w:asciiTheme="majorHAnsi" w:cstheme="majorBidi" w:eastAsiaTheme="majorEastAsia" w:hAnsiTheme="majorHAnsi"/>
      <w:color w:themeColor="accent1" w:themeShade="bf" w:val="2E74B5"/>
      <w:sz w:val="32"/>
      <w:szCs w:val="32"/>
    </w:rPr>
  </w:style>
  <w:style w:type="character" w:styleId="Hyperlink">
    <w:name w:val="Hyperlink"/>
    <w:basedOn w:val="DefaultParagraphFont"/>
    <w:uiPriority w:val="99"/>
    <w:unhideWhenUsed/>
    <w:rPr>
      <w:color w:themeColor="hyperlink" w:val="0563C1"/>
      <w:u w:val="single"/>
    </w:rPr>
  </w:style>
  <w:style w:type="character" w:styleId="CommentReference">
    <w:name w:val="annotation reference"/>
    <w:basedOn w:val="DefaultParagraphFont"/>
    <w:uiPriority w:val="99"/>
    <w:semiHidden/>
    <w:unhideWhenUsed/>
    <w:qFormat/>
    <w:rPr>
      <w:sz w:val="16"/>
      <w:szCs w:val="16"/>
    </w:rPr>
  </w:style>
  <w:style w:type="character" w:styleId="Style8" w:customStyle="1">
    <w:name w:val="Текст примечания Знак"/>
    <w:basedOn w:val="DefaultParagraphFont"/>
    <w:uiPriority w:val="99"/>
    <w:semiHidden/>
    <w:qFormat/>
    <w:rPr>
      <w:sz w:val="20"/>
      <w:szCs w:val="20"/>
    </w:rPr>
  </w:style>
  <w:style w:type="character" w:styleId="Style9" w:customStyle="1">
    <w:name w:val="Тема примечания Знак"/>
    <w:basedOn w:val="Style8"/>
    <w:uiPriority w:val="99"/>
    <w:semiHidden/>
    <w:qFormat/>
    <w:rPr>
      <w:b/>
      <w:bCs/>
      <w:sz w:val="20"/>
      <w:szCs w:val="20"/>
    </w:rPr>
  </w:style>
  <w:style w:type="character" w:styleId="FollowedHyperlink">
    <w:name w:val="FollowedHyperlink"/>
    <w:basedOn w:val="DefaultParagraphFont"/>
    <w:uiPriority w:val="99"/>
    <w:semiHidden/>
    <w:unhideWhenUsed/>
    <w:rPr>
      <w:color w:themeColor="followedHyperlink" w:val="954F72"/>
      <w:u w:val="single"/>
    </w:rPr>
  </w:style>
  <w:style w:type="paragraph" w:styleId="Style1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1">
    <w:name w:val="Указатель"/>
    <w:basedOn w:val="Normal"/>
    <w:qFormat/>
    <w:pPr>
      <w:suppressLineNumbers/>
    </w:pPr>
    <w:rPr>
      <w:rFonts w:ascii="PT Astra Serif" w:hAnsi="PT Astra Serif" w:cs="FreeSans"/>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160"/>
      <w:ind w:left="720" w:right="720"/>
    </w:pPr>
    <w:rPr>
      <w:i/>
    </w:rPr>
  </w:style>
  <w:style w:type="paragraph" w:styleId="Style12">
    <w:name w:val="Колонтитулы"/>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0"/>
    <w:pPr/>
    <w:rPr/>
  </w:style>
  <w:style w:type="paragraph" w:styleId="TOCHeading">
    <w:name w:val="TOC Heading"/>
    <w:uiPriority w:val="39"/>
    <w:unhideWhenUsed/>
    <w:qFormat/>
    <w:pPr>
      <w:widowControl/>
      <w:bidi w:val="0"/>
      <w:spacing w:lineRule="auto" w:line="259" w:beforeAutospacing="0" w:before="0" w:afterAutospacing="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uiPriority w:val="99"/>
    <w:unhideWhenUsed/>
    <w:pPr>
      <w:spacing w:before="0" w:afterAutospacing="0" w:after="0"/>
    </w:pPr>
    <w:rPr/>
  </w:style>
  <w:style w:type="paragraph" w:styleId="BalloonText">
    <w:name w:val="Balloon Text"/>
    <w:basedOn w:val="Normal"/>
    <w:uiPriority w:val="99"/>
    <w:semiHidden/>
    <w:unhideWhenUsed/>
    <w:qFormat/>
    <w:pPr>
      <w:spacing w:lineRule="auto" w:line="240" w:before="0" w:after="0"/>
    </w:pPr>
    <w:rPr>
      <w:rFonts w:ascii="Segoe UI" w:hAnsi="Segoe UI" w:eastAsia="Calibri" w:cs="Segoe UI" w:eastAsiaTheme="minorHAnsi"/>
      <w:sz w:val="18"/>
      <w:szCs w:val="18"/>
      <w:lang w:eastAsia="en-US"/>
    </w:rPr>
  </w:style>
  <w:style w:type="paragraph" w:styleId="NoSpacing">
    <w:name w:val="No Spacing"/>
    <w:uiPriority w:val="1"/>
    <w:qFormat/>
    <w:pPr>
      <w:widowControl/>
      <w:bidi w:val="0"/>
      <w:spacing w:lineRule="auto" w:line="240" w:beforeAutospacing="0" w:before="0" w:afterAutospacing="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ListParagraph">
    <w:name w:val="List Paragraph"/>
    <w:basedOn w:val="Normal"/>
    <w:uiPriority w:val="34"/>
    <w:qFormat/>
    <w:pPr>
      <w:spacing w:lineRule="auto" w:line="257" w:before="0" w:after="160"/>
      <w:ind w:left="720"/>
      <w:contextualSpacing/>
    </w:pPr>
    <w:rPr>
      <w:rFonts w:eastAsia="Calibri" w:eastAsiaTheme="minorHAnsi"/>
      <w:lang w:eastAsia="en-US"/>
    </w:rPr>
  </w:style>
  <w:style w:type="paragraph" w:styleId="CommentText">
    <w:name w:val="annotation text"/>
    <w:basedOn w:val="Normal"/>
    <w:uiPriority w:val="99"/>
    <w:semiHidden/>
    <w:unhideWhenUsed/>
    <w:pPr>
      <w:spacing w:lineRule="auto" w:line="240" w:before="0" w:after="160"/>
    </w:pPr>
    <w:rPr>
      <w:rFonts w:eastAsia="Calibri" w:eastAsiaTheme="minorHAnsi"/>
      <w:sz w:val="20"/>
      <w:szCs w:val="20"/>
      <w:lang w:eastAsia="en-US"/>
    </w:rPr>
  </w:style>
  <w:style w:type="paragraph" w:styleId="annotationsubject">
    <w:name w:val="annotation subject"/>
    <w:basedOn w:val="CommentText"/>
    <w:uiPriority w:val="99"/>
    <w:semiHidden/>
    <w:unhideWhenUsed/>
    <w:qFormat/>
    <w:pPr/>
    <w:rPr>
      <w:b/>
      <w:bCs/>
    </w:rPr>
  </w:style>
  <w:style w:type="paragraph" w:styleId="NormalWeb">
    <w:name w:val="Normal (Web)"/>
    <w:basedOn w:val="Normal"/>
    <w:uiPriority w:val="99"/>
    <w:unhideWhenUsed/>
    <w:qFormat/>
    <w:pPr>
      <w:spacing w:lineRule="auto" w:line="240" w:beforeAutospacing="1" w:afterAutospacing="1"/>
    </w:pPr>
    <w:rPr>
      <w:rFonts w:ascii="Times New Roman" w:hAnsi="Times New Roman" w:eastAsia="Times New Roman" w:cs="Times New Roman"/>
      <w:sz w:val="24"/>
      <w:szCs w:val="24"/>
    </w:rPr>
  </w:style>
  <w:style w:type="paragraph" w:styleId="ConsPlusNormal" w:customStyle="1">
    <w:name w:val="ConsPlus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Times New Roman" w:hAnsi="Times New Roman" w:eastAsia="Calibri" w:cs="Times New Roman" w:eastAsiaTheme="minorHAnsi"/>
      <w:b w:val="false"/>
      <w:bCs w:val="false"/>
      <w:i w:val="false"/>
      <w:iCs w:val="false"/>
      <w:caps w:val="false"/>
      <w:smallCaps w:val="false"/>
      <w:strike w:val="false"/>
      <w:dstrike w:val="false"/>
      <w:vanish w:val="false"/>
      <w:color w:themeColor="text1" w:val="000000"/>
      <w:spacing w:val="0"/>
      <w:kern w:val="0"/>
      <w:position w:val="0"/>
      <w:sz w:val="28"/>
      <w:sz w:val="28"/>
      <w:szCs w:val="28"/>
      <w:u w:val="none"/>
      <w:vertAlign w:val="baseline"/>
      <w:lang w:val="ru-RU" w:eastAsia="en-US" w:bidi="ar-SA"/>
      <w14:ligatures w14:val="none"/>
    </w:rPr>
  </w:style>
  <w:style w:type="numbering" w:styleId="Style13"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rosreestr.gov.ru/open-service/statistika-i-analitika/reyting-kadastrovykh-inzhenerov-376/" TargetMode="External"/><Relationship Id="rId4" Type="http://schemas.openxmlformats.org/officeDocument/2006/relationships/hyperlink" Target="https://rosreestr.gov.ru/wps/portal/p/cc_ib_portal_services/cc_ib_sro_reestrs"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LibreOffice/25.2.6.2$Linux_X86_64 LibreOffice_project/520$Build-2</Application>
  <AppVersion>15.0000</AppVersion>
  <Pages>2</Pages>
  <Words>317</Words>
  <Characters>2753</Characters>
  <CharactersWithSpaces>3187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2023-08-16T23:21:00Z</dcterms:created>
  <dc:creator>Пушкарская Диана Дмитриевна</dc:creator>
  <dc:description/>
  <dc:language>ru-RU</dc:language>
  <cp:lastModifiedBy/>
  <dcterms:modified xsi:type="dcterms:W3CDTF">2026-04-27T17:16:47Z</dcterms:modified>
  <cp:revision>134</cp:revision>
  <dc:subject/>
  <dc:title/>
</cp:coreProperties>
</file>