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16.06.2026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Пресс-служба Управления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Росреестра по Приморскому краю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+7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(423)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245-49-23, доб. 1088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25press_rosreestr@mail.ru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690091, Владивосток, ул. Посьетская, д. </w:t>
      </w:r>
      <w:r>
        <w:rPr>
          <w:rFonts w:cs="Times New Roman" w:ascii="Times New Roman" w:hAnsi="Times New Roman"/>
          <w:sz w:val="24"/>
          <w:szCs w:val="24"/>
        </w:rPr>
        <w:t>48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36"/>
          <w:szCs w:val="36"/>
          <w:highlight w:val="none"/>
          <w:u w:val="single"/>
        </w:rPr>
      </w:pPr>
      <w:r>
        <w:rPr>
          <w:rFonts w:cs="Nimbus Roman" w:ascii="Nimbus Roman" w:hAnsi="Nimbus Roman"/>
          <w:b/>
          <w:bCs/>
          <w:i w:val="false"/>
          <w:color w:val="273350"/>
          <w:sz w:val="36"/>
          <w:szCs w:val="36"/>
          <w:highlight w:val="white"/>
          <w:u w:val="single"/>
        </w:rPr>
        <w:t>Приморский Росреестр информирует о мерах социальной поддержки для подключения к газовым сетям:</w:t>
      </w:r>
    </w:p>
    <w:p>
      <w:pPr>
        <w:pStyle w:val="Normal"/>
        <w:spacing w:lineRule="exact" w:line="30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28"/>
          <w:szCs w:val="28"/>
          <w:highlight w:val="white"/>
          <w:u w:val="single"/>
        </w:rPr>
      </w:pPr>
      <w:r>
        <w:rPr>
          <w:rFonts w:cs="Nimbus Roman" w:ascii="Nimbus Roman" w:hAnsi="Nimbus Roman"/>
          <w:b/>
          <w:bCs w:val="false"/>
          <w:i w:val="false"/>
          <w:color w:val="273350"/>
          <w:sz w:val="28"/>
          <w:szCs w:val="28"/>
          <w:highlight w:val="white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highlight w:val="white"/>
        </w:rPr>
        <w:t>Социальная газификация в Приморском крае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– это программа, которая устанавливает меры социальной поддержки отдельным категориям граждан  при подключении домовладений к газовым сетям. Она регулируется Законом Приморского края  от 22 сентября 2021 года № 1147-КЗ.</w:t>
      </w:r>
    </w:p>
    <w:p>
      <w:pPr>
        <w:pStyle w:val="Heading2"/>
        <w:pBdr/>
        <w:shd w:val="clear" w:color="FFFFFF" w:fill="FFFFFF"/>
        <w:spacing w:lineRule="atLeast" w:line="420" w:before="60" w:after="60"/>
        <w:ind w:hanging="0" w:start="0" w:end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Кто может участвовать</w:t>
      </w:r>
    </w:p>
    <w:p>
      <w:pPr>
        <w:pStyle w:val="Normal"/>
        <w:pBdr/>
        <w:shd w:val="clear" w:color="FFFFFF" w:fill="FFFFFF"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Право на поддержку имеют собственники индивидуальных жилых домов и домов блокированной застройки, зарегистрированные по месту жительства в них.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</w:rPr>
        <w:t>Основные категории:</w:t>
      </w:r>
    </w:p>
    <w:p>
      <w:pPr>
        <w:pStyle w:val="ListParagraph"/>
        <w:numPr>
          <w:ilvl w:val="0"/>
          <w:numId w:val="1"/>
        </w:numPr>
        <w:pBdr/>
        <w:spacing w:lineRule="atLeast" w:line="330" w:before="12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Одиноко проживающие льготные граждане: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включенные в краевой или федеральный регистр получателей ежемесячных выплат или государственной социальной помощи, а также дети Великой Отечественной войны.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Собственники, не являющиеся одиноко проживающими: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ветераны ВОВ, вдовы (вдовцы) погибших военнослужащих, бывшие несовершеннолетние узники концлагерей, жители блокадного Ленинграда, инвалиды I группы, ветераны боевых действий, члены семей погибших (умерших) ветеранов боевых действий.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Семьи с определенным уровнем дохода: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семьи с доходом ниже или равным прожиточному минимуму;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семьи с доходом выше прожиточного минимума, но не более двукратной величины;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многодетные семьи.</w:t>
      </w:r>
    </w:p>
    <w:p>
      <w:pPr>
        <w:pStyle w:val="ListParagraph"/>
        <w:numPr>
          <w:ilvl w:val="0"/>
          <w:numId w:val="1"/>
        </w:numPr>
        <w:pBdr/>
        <w:spacing w:lineRule="atLeast" w:line="330" w:before="0" w:after="12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Участники специальной военной операции и члены их семей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Heading2"/>
        <w:pBdr/>
        <w:shd w:val="clear" w:color="FFFFFF" w:fill="FFFFFF"/>
        <w:spacing w:lineRule="atLeast" w:line="420" w:before="60" w:after="6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Размер поддержки</w:t>
      </w:r>
    </w:p>
    <w:p>
      <w:pPr>
        <w:pStyle w:val="Normal"/>
        <w:pBdr/>
        <w:shd w:val="clear" w:color="FFFFFF" w:fill="FFFFFF"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Поддержка предоставляется однократно и покрывает расходы на подключение дома к газу в границах участка. Конкретные суммы зависят от категории граждан.</w:t>
      </w:r>
    </w:p>
    <w:p>
      <w:pPr>
        <w:pStyle w:val="ListParagraph"/>
        <w:numPr>
          <w:ilvl w:val="0"/>
          <w:numId w:val="2"/>
        </w:numPr>
        <w:pBdr/>
        <w:spacing w:lineRule="atLeast" w:line="330" w:before="12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До 380 700 рублей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– для одиноко проживающих льготных граждан, семей с ветеранами ВОВ, инвалидов I группы, ветеранов боевых действий, участников СВО.</w:t>
      </w:r>
    </w:p>
    <w:p>
      <w:pPr>
        <w:pStyle w:val="ListParagraph"/>
        <w:numPr>
          <w:ilvl w:val="0"/>
          <w:numId w:val="2"/>
        </w:numPr>
        <w:pBdr/>
        <w:spacing w:lineRule="atLeast" w:line="330" w:before="0" w:after="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До 304 560 рублей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– для семей с доходом ниже или равным прожиточному минимуму.</w:t>
      </w:r>
    </w:p>
    <w:p>
      <w:pPr>
        <w:pStyle w:val="ListParagraph"/>
        <w:numPr>
          <w:ilvl w:val="0"/>
          <w:numId w:val="2"/>
        </w:numPr>
        <w:pBdr/>
        <w:spacing w:lineRule="atLeast" w:line="330" w:before="0" w:after="120"/>
        <w:ind w:hanging="360" w:start="709" w:end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До 190 350 рублей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– для семей с доходом выше прожиточного минимума, но не более двукратной величины.</w:t>
      </w:r>
    </w:p>
    <w:p>
      <w:pPr>
        <w:pStyle w:val="Normal"/>
        <w:pBdr/>
        <w:shd w:val="clear" w:color="FFFFFF" w:fill="FFFFFF"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Heading2"/>
        <w:pBdr/>
        <w:spacing w:lineRule="atLeast" w:line="420" w:before="60" w:after="6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Как получить поддержку</w:t>
      </w:r>
    </w:p>
    <w:p>
      <w:pPr>
        <w:pStyle w:val="Normal"/>
        <w:pBdr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Шаг 1. Проверьте, включен ли ваш адрес в план-график газификации.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 Проверить можно на сайте </w:t>
      </w:r>
      <w:hyperlink r:id="rId3" w:tooltip="https://connectgas.ru/">
        <w:r>
          <w:rPr>
            <w:rStyle w:val="Hyperlink"/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https://connectgas.ru/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Если вашего населенного пункта нет в графике, обратитесь в местную администрацию, чтобы инициировать включени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>е.</w:t>
      </w:r>
    </w:p>
    <w:p>
      <w:pPr>
        <w:pStyle w:val="Normal"/>
        <w:pBdr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Шаг 2. Подайте заявление на установление права на поддержку.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 Это можно сделать через МФЦ, портал Госуслуг или лично в Едином центре предоставления услуг. Предоставьте документы, подтверждающие право на льготу, право собственности на дом, сведения о доходах (для семей с доходом выше прожиточного минимума) и согласия на обработку персональных данных.</w:t>
      </w:r>
    </w:p>
    <w:p>
      <w:pPr>
        <w:pStyle w:val="Normal"/>
        <w:pBdr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Шаг 3. Заключите договор на газификацию и выполните работы.</w:t>
      </w:r>
    </w:p>
    <w:p>
      <w:pPr>
        <w:pStyle w:val="Normal"/>
        <w:pBdr/>
        <w:spacing w:lineRule="atLeast" w:line="330" w:before="0" w:after="120"/>
        <w:ind w:hanging="0" w:start="0" w:end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</w:rPr>
        <w:t>Шаг 4. Подайте заявление на выплату компенсации.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> К нему нужно приложить документы, подтверждающие выполненные работы (договоры, счета, акты), а также акт о готовности сетей к подключению. 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</w:rPr>
        <w:t>Для справки: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воспользуйтесь специальным информационным ресурсом на сайте Росреестра </w:t>
      </w:r>
      <w:hyperlink r:id="rId4" w:tooltip="https://rosreestr.gov.ru/open-service/obzor-zakonov-o-nedvizhimosti/shagi-dlya-dogazifikatsii-zhilykh-domov-v-snt/">
        <w:r>
          <w:rPr>
            <w:rStyle w:val="Hyperlink"/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https://rosreestr.gov.ru/open-service/obzor-zakonov-o-nedvizhimosti/shagi-dlya-dogazifikatsii-zhilykh-domov-v-snt/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, включающий сведения по актуальным вопросам реализации программы газификации СНТ.</w:t>
      </w:r>
    </w:p>
    <w:p>
      <w:pPr>
        <w:pStyle w:val="Normal"/>
        <w:pBdr/>
        <w:ind w:firstLine="708"/>
        <w:jc w:val="both"/>
        <w:rPr>
          <w:rFonts w:ascii="PT Astra Serif" w:hAnsi="PT Astra Serif" w:eastAsia="PT Astra Serif" w:cs="PT Astra Serif"/>
          <w:b w:val="false"/>
          <w:bCs/>
          <w:i/>
          <w:i/>
          <w:color w:themeColor="text1" w:val="000000"/>
          <w:spacing w:val="6"/>
          <w:sz w:val="28"/>
          <w:szCs w:val="28"/>
          <w:highlight w:val="none"/>
          <w14:ligatures w14:val="none"/>
        </w:rPr>
      </w:pPr>
      <w:r>
        <w:rPr>
          <w:rFonts w:eastAsia="PT Astra Serif" w:cs="PT Astra Serif" w:ascii="PT Astra Serif" w:hAnsi="PT Astra Serif"/>
          <w:b w:val="false"/>
          <w:bCs/>
          <w:i/>
          <w:color w:themeColor="text1" w:val="000000"/>
          <w:spacing w:val="6"/>
          <w:sz w:val="28"/>
          <w:szCs w:val="28"/>
          <w14:ligatures w14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uppressLineNumbers w:val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/>
        <w:br/>
      </w:r>
      <w:r>
        <mc:AlternateContent>
          <mc:Choice Requires="wps">
            <w:drawing>
              <wp:anchor behindDoc="0" distT="0" distB="19050" distL="0" distR="19050" simplePos="0" locked="0" layoutInCell="0" allowOverlap="1" relativeHeight="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00750" cy="635"/>
                <wp:effectExtent l="8255" t="8890" r="8890" b="8255"/>
                <wp:wrapNone/>
                <wp:docPr id="2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0pt;margin-top:0.25pt;width:472.45pt;height:0pt;mso-wrap-style:none;v-text-anchor:middle;mso-position-horizontal:left;mso-position-horizontal-relative:margin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eastAsia="Arial Unicode MS" w:cs="Segoe UI" w:ascii="Segoe UI" w:hAnsi="Segoe UI"/>
          <w:b/>
          <w:sz w:val="24"/>
          <w:szCs w:val="24"/>
          <w:lang w:eastAsia="sk-SK" w:bidi="hi-IN"/>
        </w:rPr>
        <w:t>О Росреестре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eastAsia="Arial Unicode MS" w:cs="Segoe UI" w:ascii="Segoe UI" w:hAnsi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ППК «Роскадастр» и ФГБУ «Центр геодезии, картографии и ИПД». </w:t>
      </w:r>
    </w:p>
    <w:sectPr>
      <w:type w:val="nextPage"/>
      <w:pgSz w:w="11906" w:h="16838"/>
      <w:pgMar w:left="1701" w:right="85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  <w:color w:val="333333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  <w:sz w:val="24"/>
        <w:color w:val="333333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  <w:sz w:val="24"/>
        <w:color w:val="333333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  <w:sz w:val="24"/>
        <w:color w:val="333333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  <w:sz w:val="24"/>
        <w:color w:val="333333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  <w:sz w:val="24"/>
        <w:color w:val="333333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  <w:sz w:val="24"/>
        <w:color w:val="333333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  <w:sz w:val="24"/>
        <w:color w:val="333333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  <w:sz w:val="24"/>
        <w:color w:val="333333"/>
      </w:rPr>
    </w:lvl>
  </w:abstractNum>
  <w:abstractNum w:abstractNumId="2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  <w:color w:val="333333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  <w:sz w:val="24"/>
        <w:color w:val="333333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  <w:sz w:val="24"/>
        <w:color w:val="333333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  <w:sz w:val="24"/>
        <w:color w:val="333333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  <w:sz w:val="24"/>
        <w:color w:val="333333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  <w:sz w:val="24"/>
        <w:color w:val="333333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  <w:sz w:val="24"/>
        <w:color w:val="333333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  <w:sz w:val="24"/>
        <w:color w:val="333333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  <w:sz w:val="24"/>
        <w:color w:val="333333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eastAsia="Arial" w:eastAsiaTheme="minorEastAsia" w:ascii="Calibri" w:hAnsi="Calibri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uiPriority w:val="99"/>
    <w:semiHidden/>
    <w:qFormat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start="720" w:end="720"/>
    </w:pPr>
    <w:rPr>
      <w:i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start="720"/>
      <w:contextualSpacing/>
    </w:pPr>
    <w:rPr>
      <w:rFonts w:eastAsia="Calibri" w:eastAsiaTheme="minorHAnsi"/>
      <w:lang w:eastAsia="en-US"/>
    </w:rPr>
  </w:style>
  <w:style w:type="paragraph" w:styleId="CommentText">
    <w:name w:val="annotation text"/>
    <w:basedOn w:val="Normal"/>
    <w:uiPriority w:val="99"/>
    <w:semiHidden/>
    <w:unhideWhenUsed/>
    <w:pPr>
      <w:spacing w:lineRule="auto" w:line="240" w:before="0" w:after="160"/>
    </w:pPr>
    <w:rPr>
      <w:rFonts w:eastAsia="Calibri" w:eastAsia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Calibri" w:cs="Times New Roman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themeColor="text1" w:val="000000"/>
      <w:spacing w:val="0"/>
      <w:kern w:val="0"/>
      <w:position w:val="0"/>
      <w:sz w:val="28"/>
      <w:sz w:val="28"/>
      <w:szCs w:val="28"/>
      <w:u w:val="none"/>
      <w:vertAlign w:val="baseline"/>
      <w:lang w:val="ru-RU" w:eastAsia="en-US" w:bidi="ar-SA"/>
      <w14:ligatures w14:val="none"/>
    </w:rPr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nnectgas.ru/" TargetMode="External"/><Relationship Id="rId4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LibreOffice/25.8.3.2$Linux_X86_64 LibreOffice_project/580$Build-2</Application>
  <AppVersion>15.0000</AppVersion>
  <Pages>2</Pages>
  <Words>487</Words>
  <Characters>3514</Characters>
  <CharactersWithSpaces>4107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2023-08-16T23:21:00Z</dcterms:created>
  <dc:creator>Пушкарская Диана Дмитриевна</dc:creator>
  <dc:description/>
  <dc:language>ru-RU</dc:language>
  <cp:lastModifiedBy>lazarenkotn</cp:lastModifiedBy>
  <dcterms:modified xsi:type="dcterms:W3CDTF">2026-06-16T00:43:34Z</dcterms:modified>
  <cp:revision>133</cp:revision>
  <dc:subject/>
  <dc:title/>
</cp:coreProperties>
</file>