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/>
      </w:pPr>
      <w:r>
        <w:rPr/>
        <w:drawing>
          <wp:inline distT="0" distB="0" distL="0" distR="0">
            <wp:extent cx="1984375" cy="72961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                                                                           </w:t>
      </w:r>
    </w:p>
    <w:p>
      <w:pPr>
        <w:pStyle w:val="NoSpacing"/>
        <w:rPr/>
      </w:pPr>
      <w:r>
        <w:rPr/>
      </w:r>
    </w:p>
    <w:p>
      <w:pPr>
        <w:pStyle w:val="NoSpacing"/>
        <w:jc w:val="end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14.07.2026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Пресс-служба Управления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Росреестра по Приморскому краю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+7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(423)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245-49-23, доб. 1088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</w:rPr>
        <w:br/>
      </w:r>
      <w:r>
        <w:rPr>
          <w:rFonts w:eastAsia="Times New Roman" w:cs="Times New Roman" w:ascii="Times New Roman" w:hAnsi="Times New Roman"/>
          <w:sz w:val="24"/>
          <w:szCs w:val="24"/>
        </w:rPr>
        <w:t>25press_rosreestr@mail.ru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690091, Владивосток, ул. Посьетская, д. </w:t>
      </w:r>
      <w:r>
        <w:rPr>
          <w:rFonts w:cs="Times New Roman" w:ascii="Times New Roman" w:hAnsi="Times New Roman"/>
          <w:sz w:val="24"/>
          <w:szCs w:val="24"/>
        </w:rPr>
        <w:t>48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6"/>
          <w:szCs w:val="36"/>
          <w:highlight w:val="none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spacing w:lineRule="auto" w:line="24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36"/>
          <w:szCs w:val="36"/>
          <w:highlight w:val="none"/>
          <w:u w:val="single"/>
        </w:rPr>
      </w:pPr>
      <w:r>
        <w:rPr>
          <w:rFonts w:cs="Nimbus Roman" w:ascii="Nimbus Roman" w:hAnsi="Nimbus Roman"/>
          <w:b/>
          <w:bCs/>
          <w:i w:val="false"/>
          <w:color w:val="273350"/>
          <w:sz w:val="36"/>
          <w:szCs w:val="36"/>
          <w:highlight w:val="white"/>
          <w:u w:val="single"/>
        </w:rPr>
        <w:t>Приморский Росреестр информирует, что за полгода более 21 тысячи приморцев оформили ипотеку.</w:t>
      </w:r>
    </w:p>
    <w:p>
      <w:pPr>
        <w:pStyle w:val="Normal"/>
        <w:spacing w:lineRule="exact" w:line="30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28"/>
          <w:szCs w:val="28"/>
          <w:highlight w:val="white"/>
          <w:u w:val="single"/>
        </w:rPr>
      </w:pPr>
      <w:r>
        <w:rPr>
          <w:rFonts w:cs="Nimbus Roman" w:ascii="Nimbus Roman" w:hAnsi="Nimbus Roman"/>
          <w:b/>
          <w:bCs w:val="false"/>
          <w:i w:val="false"/>
          <w:color w:val="273350"/>
          <w:sz w:val="28"/>
          <w:szCs w:val="28"/>
          <w:highlight w:val="white"/>
          <w:u w:val="single"/>
        </w:rPr>
      </w:r>
    </w:p>
    <w:p>
      <w:pPr>
        <w:pStyle w:val="Normal"/>
        <w:pBdr/>
        <w:spacing w:before="300" w:after="0"/>
        <w:ind w:hanging="0" w:start="0" w:end="0"/>
        <w:jc w:val="both"/>
        <w:rPr>
          <w:rFonts w:ascii="Times New Roman" w:hAnsi="Times New Roman" w:cs="Times New Roman"/>
          <w:color w:val="292C2F"/>
          <w:sz w:val="32"/>
          <w:szCs w:val="32"/>
        </w:rPr>
      </w:pP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 xml:space="preserve">Управление Росреестра по Приморскому краю подвело итоги по количеству регистрационных записей об ипотеке, внесенных в Единый государственный реестр недвижимости (ЕГРН), в период с января по июнь 2026 года. </w:t>
      </w:r>
    </w:p>
    <w:p>
      <w:pPr>
        <w:pStyle w:val="Normal"/>
        <w:pBdr/>
        <w:spacing w:before="300" w:after="0"/>
        <w:ind w:hanging="0" w:start="0" w:end="0"/>
        <w:jc w:val="both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>По итогам проведенного анализа отмечается высокий рост регистрации ипотеки жилых помещений, внесенных в ЕГРН.</w:t>
      </w:r>
    </w:p>
    <w:p>
      <w:pPr>
        <w:pStyle w:val="Normal"/>
        <w:pBdr/>
        <w:spacing w:before="300" w:after="0"/>
        <w:ind w:hanging="0" w:start="0" w:end="0"/>
        <w:jc w:val="both"/>
        <w:rPr>
          <w:rFonts w:ascii="Times New Roman" w:hAnsi="Times New Roman" w:cs="Times New Roman"/>
          <w:color w:val="292C2F"/>
          <w:sz w:val="32"/>
          <w:szCs w:val="32"/>
          <w:highlight w:val="none"/>
        </w:rPr>
      </w:pPr>
      <w:r>
        <w:rPr>
          <w:rFonts w:cs="Times New Roman" w:ascii="Times New Roman" w:hAnsi="Times New Roman"/>
          <w:color w:val="292C2F"/>
          <w:sz w:val="32"/>
          <w:szCs w:val="32"/>
        </w:rPr>
      </w:r>
    </w:p>
    <w:p>
      <w:pPr>
        <w:pStyle w:val="Normal"/>
        <w:pBdr/>
        <w:spacing w:before="0" w:after="0"/>
        <w:ind w:hanging="0" w:start="0" w:end="0"/>
        <w:jc w:val="both"/>
        <w:rPr>
          <w:rFonts w:ascii="Times New Roman" w:hAnsi="Times New Roman" w:eastAsia="Times New Roman" w:cs="Times New Roman"/>
          <w:color w:val="292C2F"/>
          <w:sz w:val="32"/>
          <w:szCs w:val="32"/>
        </w:rPr>
      </w:pP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>За январь-июнь 2026 года государственные регистраторы Приморского Росреестра  внесли в Единый государственный реестр недвижимости </w:t>
      </w:r>
      <w:r>
        <w:rPr>
          <w:rFonts w:eastAsia="Times New Roman" w:cs="Times New Roman" w:ascii="Times New Roman" w:hAnsi="Times New Roman"/>
          <w:b/>
          <w:bCs/>
          <w:color w:val="292C2F"/>
          <w:sz w:val="32"/>
          <w:szCs w:val="32"/>
        </w:rPr>
        <w:t>21 832</w:t>
      </w:r>
      <w:r>
        <w:rPr>
          <w:rFonts w:eastAsia="Times New Roman" w:cs="Times New Roman" w:ascii="Times New Roman" w:hAnsi="Times New Roman"/>
          <w:b/>
          <w:color w:val="292C2F"/>
          <w:sz w:val="32"/>
          <w:szCs w:val="32"/>
        </w:rPr>
        <w:t> </w:t>
      </w: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>регистрационных записи об ипотеке (что на 16,6</w:t>
      </w:r>
      <w:r>
        <w:rPr>
          <w:rFonts w:eastAsia="Times New Roman" w:cs="Times New Roman" w:ascii="Times New Roman" w:hAnsi="Times New Roman"/>
          <w:b/>
          <w:color w:val="292C2F"/>
          <w:sz w:val="32"/>
          <w:szCs w:val="32"/>
        </w:rPr>
        <w:t>%</w:t>
      </w: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 xml:space="preserve"> больше, чем в аналогичном периоде 2025 года). </w:t>
      </w:r>
    </w:p>
    <w:p>
      <w:pPr>
        <w:pStyle w:val="Normal"/>
        <w:pBdr/>
        <w:spacing w:before="0" w:after="0"/>
        <w:ind w:hanging="0" w:start="0" w:end="0"/>
        <w:jc w:val="both"/>
        <w:rPr>
          <w:rFonts w:ascii="Times New Roman" w:hAnsi="Times New Roman" w:cs="Times New Roman"/>
          <w:color w:val="292C2F"/>
          <w:sz w:val="32"/>
          <w:szCs w:val="32"/>
          <w:highlight w:val="none"/>
        </w:rPr>
      </w:pP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>При этом на 17,6</w:t>
      </w:r>
      <w:r>
        <w:rPr>
          <w:rFonts w:eastAsia="Times New Roman" w:cs="Times New Roman" w:ascii="Times New Roman" w:hAnsi="Times New Roman"/>
          <w:b/>
          <w:color w:val="292C2F"/>
          <w:sz w:val="32"/>
          <w:szCs w:val="32"/>
        </w:rPr>
        <w:t>%</w:t>
      </w: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 xml:space="preserve"> в текущем году увеличилось количество регистрационных записей об ипотеке </w:t>
      </w:r>
      <w:r>
        <w:rPr>
          <w:rFonts w:eastAsia="Times New Roman" w:cs="Times New Roman" w:ascii="Times New Roman" w:hAnsi="Times New Roman"/>
          <w:color w:val="292C2F"/>
          <w:sz w:val="32"/>
          <w:szCs w:val="32"/>
          <w:u w:val="single"/>
        </w:rPr>
        <w:t>жилых помещений</w:t>
      </w: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 xml:space="preserve"> по сравнению с первым полугодием 2025 года, и составило </w:t>
      </w:r>
      <w:r>
        <w:rPr>
          <w:rFonts w:eastAsia="Times New Roman" w:cs="Times New Roman" w:ascii="Times New Roman" w:hAnsi="Times New Roman"/>
          <w:b/>
          <w:bCs/>
          <w:color w:val="292C2F"/>
          <w:sz w:val="32"/>
          <w:szCs w:val="32"/>
        </w:rPr>
        <w:t>11 307.</w:t>
      </w:r>
    </w:p>
    <w:p>
      <w:pPr>
        <w:pStyle w:val="Normal"/>
        <w:pBdr/>
        <w:spacing w:before="0" w:after="0"/>
        <w:ind w:hanging="0" w:start="0" w:end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pBdr/>
        <w:spacing w:before="0" w:after="0"/>
        <w:ind w:hanging="0" w:start="0" w:end="0"/>
        <w:jc w:val="both"/>
        <w:rPr>
          <w:rFonts w:ascii="Times New Roman" w:hAnsi="Times New Roman" w:cs="Times New Roman"/>
          <w:color w:val="292C2F"/>
          <w:sz w:val="32"/>
          <w:szCs w:val="32"/>
          <w:highlight w:val="none"/>
        </w:rPr>
      </w:pP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>На </w:t>
      </w:r>
      <w:r>
        <w:rPr>
          <w:rFonts w:eastAsia="Times New Roman" w:cs="Times New Roman" w:ascii="Times New Roman" w:hAnsi="Times New Roman"/>
          <w:b/>
          <w:color w:val="292C2F"/>
          <w:sz w:val="32"/>
          <w:szCs w:val="32"/>
        </w:rPr>
        <w:t>35,1%</w:t>
      </w: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 xml:space="preserve"> больше, чем в 2025 году, выросло количество регистрированных записей об ипотеке жилья, приобретенного </w:t>
      </w:r>
      <w:r>
        <w:rPr>
          <w:rFonts w:eastAsia="Times New Roman" w:cs="Times New Roman" w:ascii="Times New Roman" w:hAnsi="Times New Roman"/>
          <w:color w:val="292C2F"/>
          <w:sz w:val="32"/>
          <w:szCs w:val="32"/>
          <w:u w:val="single"/>
        </w:rPr>
        <w:t>за счет кредитных средств</w:t>
      </w: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>, и составило </w:t>
      </w:r>
      <w:r>
        <w:rPr>
          <w:rFonts w:eastAsia="Times New Roman" w:cs="Times New Roman" w:ascii="Times New Roman" w:hAnsi="Times New Roman"/>
          <w:b/>
          <w:bCs/>
          <w:color w:val="292C2F"/>
          <w:sz w:val="32"/>
          <w:szCs w:val="32"/>
        </w:rPr>
        <w:t>7 829</w:t>
      </w:r>
      <w:r>
        <w:rPr>
          <w:rFonts w:eastAsia="Times New Roman" w:cs="Times New Roman" w:ascii="Times New Roman" w:hAnsi="Times New Roman"/>
          <w:b/>
          <w:color w:val="292C2F"/>
          <w:sz w:val="32"/>
          <w:szCs w:val="32"/>
        </w:rPr>
        <w:t> </w:t>
      </w:r>
      <w:r>
        <w:rPr>
          <w:rFonts w:eastAsia="Times New Roman" w:cs="Times New Roman" w:ascii="Times New Roman" w:hAnsi="Times New Roman"/>
          <w:color w:val="292C2F"/>
          <w:sz w:val="32"/>
          <w:szCs w:val="32"/>
        </w:rPr>
        <w:t>регистрационных записей.</w:t>
      </w:r>
    </w:p>
    <w:p>
      <w:pPr>
        <w:pStyle w:val="Normal"/>
        <w:pBdr/>
        <w:spacing w:before="0" w:after="0"/>
        <w:ind w:hanging="0" w:start="0" w:end="0"/>
        <w:jc w:val="both"/>
        <w:rPr>
          <w:rFonts w:ascii="Times New Roman" w:hAnsi="Times New Roman" w:cs="Times New Roman"/>
          <w:color w:val="292C2F"/>
          <w:sz w:val="32"/>
          <w:szCs w:val="32"/>
          <w:highlight w:val="none"/>
        </w:rPr>
      </w:pPr>
      <w:r>
        <w:rPr>
          <w:rFonts w:cs="Times New Roman" w:ascii="Times New Roman" w:hAnsi="Times New Roman"/>
          <w:color w:val="292C2F"/>
          <w:sz w:val="32"/>
          <w:szCs w:val="32"/>
        </w:rPr>
      </w:r>
    </w:p>
    <w:p>
      <w:pPr>
        <w:pStyle w:val="Normal"/>
        <w:pBdr/>
        <w:spacing w:before="0" w:after="0"/>
        <w:ind w:hanging="0" w:start="0" w:end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«Подобная динамика свидетельствует о высокой эффективности государственных программ поддержки жилищного строительства. Приморский край остается одним из самых привлекательных регионов Дальнего Востока для приобретения собственного жилья», – отмечает заместитель руководителя Управления Росреестра по Приморскому краю Евгений Санин. </w:t>
      </w:r>
    </w:p>
    <w:p>
      <w:pPr>
        <w:pStyle w:val="Normal"/>
        <w:pBdr/>
        <w:ind w:firstLine="708"/>
        <w:jc w:val="both"/>
        <w:rPr>
          <w:rFonts w:ascii="PT Astra Serif" w:hAnsi="PT Astra Serif" w:eastAsia="PT Astra Serif" w:cs="PT Astra Serif"/>
          <w:b w:val="false"/>
          <w:bCs/>
          <w:i/>
          <w:i/>
          <w:color w:themeColor="text1" w:val="000000"/>
          <w:spacing w:val="6"/>
          <w:sz w:val="28"/>
          <w:szCs w:val="28"/>
          <w:highlight w:val="none"/>
          <w14:ligatures w14:val="none"/>
        </w:rPr>
      </w:pPr>
      <w:r>
        <w:rPr>
          <w:rFonts w:eastAsia="PT Astra Serif" w:cs="PT Astra Serif" w:ascii="PT Astra Serif" w:hAnsi="PT Astra Serif"/>
          <w:b w:val="false"/>
          <w:bCs/>
          <w:i/>
          <w:color w:themeColor="text1" w:val="000000"/>
          <w:spacing w:val="6"/>
          <w:sz w:val="28"/>
          <w:szCs w:val="28"/>
          <w14:ligatures w14:val="none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i/>
          <w:i/>
          <w:iCs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uppressLineNumbers w:val="0"/>
        <w:ind w:firstLine="720"/>
        <w:jc w:val="both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highlight w:val="none"/>
        </w:rPr>
      </w:pPr>
      <w:r>
        <w:rPr/>
        <w:br/>
      </w:r>
      <w:r>
        <mc:AlternateContent>
          <mc:Choice Requires="wps">
            <w:drawing>
              <wp:anchor behindDoc="0" distT="0" distB="19050" distL="0" distR="19050" simplePos="0" locked="0" layoutInCell="0" allowOverlap="1" relativeHeight="3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000750" cy="635"/>
                <wp:effectExtent l="8255" t="8890" r="8890" b="8255"/>
                <wp:wrapNone/>
                <wp:docPr id="2" name="Прямая со стрелко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840" cy="7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1" path="m0,0l-2147483648,-2147483647e" stroked="t" o:allowincell="f" style="position:absolute;margin-left:0pt;margin-top:0.25pt;width:472.45pt;height:0pt;mso-wrap-style:none;v-text-anchor:middle;mso-position-horizontal:left;mso-position-horizontal-relative:margin" type="_x0000_t32">
                <v:fill o:detectmouseclick="t" on="false"/>
                <v:stroke color="#0070c0" weight="15840" joinstyle="round" endcap="flat"/>
                <w10:wrap type="none"/>
              </v:shape>
            </w:pict>
          </mc:Fallback>
        </mc:AlternateContent>
      </w:r>
      <w:r>
        <w:rPr>
          <w:rFonts w:eastAsia="Arial Unicode MS" w:cs="Segoe UI" w:ascii="Segoe UI" w:hAnsi="Segoe UI"/>
          <w:b/>
          <w:sz w:val="24"/>
          <w:szCs w:val="24"/>
          <w:lang w:eastAsia="sk-SK" w:bidi="hi-IN"/>
        </w:rPr>
        <w:t>О Росреестре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Segoe UI" w:hAnsi="Segoe UI" w:eastAsia="Arial Unicode MS" w:cs="Segoe UI"/>
          <w:sz w:val="18"/>
          <w:szCs w:val="18"/>
          <w:lang w:eastAsia="hi-IN" w:bidi="hi-IN"/>
        </w:rPr>
      </w:pPr>
      <w:r>
        <w:rPr>
          <w:rFonts w:eastAsia="Arial Unicode MS" w:cs="Segoe UI" w:ascii="Segoe UI" w:hAnsi="Segoe UI"/>
          <w:sz w:val="18"/>
          <w:szCs w:val="18"/>
          <w:lang w:eastAsia="hi-IN" w:bidi="hi-IN"/>
        </w:rPr>
        <w:t xml:space="preserve">Федеральная служба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ППК «Роскадастр» и ФГБУ «Центр геодезии, картографии и ИПД». </w:t>
      </w:r>
    </w:p>
    <w:sectPr>
      <w:type w:val="nextPage"/>
      <w:pgSz w:w="11906" w:h="16838"/>
      <w:pgMar w:left="1701" w:right="850" w:gutter="0" w:header="0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Nimbus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start"/>
    </w:pPr>
    <w:rPr>
      <w:rFonts w:eastAsia="Arial" w:eastAsiaTheme="minorEastAsia" w:ascii="Calibri" w:hAnsi="Calibri" w:cs="Arial"/>
      <w:color w:val="auto"/>
      <w:kern w:val="0"/>
      <w:sz w:val="22"/>
      <w:szCs w:val="22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lineRule="auto" w:line="259" w:before="240" w:after="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  <w:lang w:eastAsia="en-US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semiHidden/>
    <w:qFormat/>
    <w:rPr>
      <w:sz w:val="20"/>
      <w:szCs w:val="20"/>
    </w:rPr>
  </w:style>
  <w:style w:type="character" w:styleId="Style9" w:customStyle="1">
    <w:name w:val="Тема примечания Знак"/>
    <w:basedOn w:val="Style8"/>
    <w:uiPriority w:val="99"/>
    <w:semiHidden/>
    <w:qFormat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start="720" w:end="720"/>
    </w:pPr>
    <w:rPr>
      <w:i/>
    </w:rPr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eastAsia="Calibri" w:cs="Segoe UI" w:eastAsiaTheme="minorHAnsi"/>
      <w:sz w:val="18"/>
      <w:szCs w:val="18"/>
      <w:lang w:eastAsia="en-U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lineRule="auto" w:line="257" w:before="0" w:after="160"/>
      <w:ind w:start="720"/>
      <w:contextualSpacing/>
    </w:pPr>
    <w:rPr>
      <w:rFonts w:eastAsia="Calibri" w:eastAsiaTheme="minorHAnsi"/>
      <w:lang w:eastAsia="en-US"/>
    </w:rPr>
  </w:style>
  <w:style w:type="paragraph" w:styleId="CommentText">
    <w:name w:val="annotation text"/>
    <w:basedOn w:val="Normal"/>
    <w:uiPriority w:val="99"/>
    <w:semiHidden/>
    <w:unhideWhenUsed/>
    <w:pPr>
      <w:spacing w:lineRule="auto" w:line="240" w:before="0" w:after="160"/>
    </w:pPr>
    <w:rPr>
      <w:rFonts w:eastAsia="Calibri" w:eastAsiaTheme="minorHAnsi"/>
      <w:sz w:val="20"/>
      <w:szCs w:val="20"/>
      <w:lang w:eastAsia="en-US"/>
    </w:rPr>
  </w:style>
  <w:style w:type="paragraph" w:styleId="annotationsubject">
    <w:name w:val="annotation subject"/>
    <w:basedOn w:val="CommentText"/>
    <w:uiPriority w:val="99"/>
    <w:semiHidden/>
    <w:unhideWhenUsed/>
    <w:qFormat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 w:customStyle="1">
    <w:name w:val="ConsPlusNormal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Times New Roman" w:hAnsi="Times New Roman" w:eastAsia="Calibri" w:cs="Times New Roman" w:eastAsiaTheme="minorHAns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themeColor="text1" w:val="000000"/>
      <w:spacing w:val="0"/>
      <w:kern w:val="0"/>
      <w:position w:val="0"/>
      <w:sz w:val="28"/>
      <w:sz w:val="28"/>
      <w:szCs w:val="28"/>
      <w:u w:val="none"/>
      <w:vertAlign w:val="baseline"/>
      <w:lang w:val="ru-RU" w:eastAsia="en-US" w:bidi="ar-SA"/>
      <w14:ligatures w14:val="none"/>
    </w:rPr>
  </w:style>
  <w:style w:type="numbering" w:styleId="Style13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LibreOffice/25.8.3.2$Linux_X86_64 LibreOffice_project/580$Build-2</Application>
  <AppVersion>15.0000</AppVersion>
  <Pages>2</Pages>
  <Words>284</Words>
  <Characters>2133</Characters>
  <CharactersWithSpaces>2546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2023-08-16T23:21:00Z</dcterms:created>
  <dc:creator>Пушкарская Диана Дмитриевна</dc:creator>
  <dc:description/>
  <dc:language>ru-RU</dc:language>
  <cp:lastModifiedBy>lazarenkotn</cp:lastModifiedBy>
  <dcterms:modified xsi:type="dcterms:W3CDTF">2026-07-13T23:38:31Z</dcterms:modified>
  <cp:revision>133</cp:revision>
  <dc:subject/>
  <dc:title/>
</cp:coreProperties>
</file>