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rPr/>
      </w:pPr>
      <w:r>
        <w:rPr/>
        <w:drawing>
          <wp:inline distT="0" distB="0" distL="0" distR="0">
            <wp:extent cx="1984375" cy="72961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72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                                                                                                                                       </w:t>
      </w:r>
    </w:p>
    <w:p>
      <w:pPr>
        <w:pStyle w:val="NoSpacing"/>
        <w:rPr/>
      </w:pPr>
      <w:r>
        <w:rPr/>
      </w:r>
    </w:p>
    <w:p>
      <w:pPr>
        <w:pStyle w:val="NoSpacing"/>
        <w:jc w:val="end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15.07.2026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Пресс-служба Управления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Росреестра по Приморскому краю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+7</w:t>
      </w:r>
      <w:r>
        <w:rPr>
          <w:rFonts w:eastAsia="Calibri" w:cs="Times New Roman" w:ascii="Times New Roman" w:hAnsi="Times New Roman"/>
          <w:sz w:val="28"/>
          <w:szCs w:val="28"/>
          <w:lang w:val="en-US" w:eastAsia="en-US"/>
        </w:rPr>
        <w:t> 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(423)</w:t>
      </w:r>
      <w:r>
        <w:rPr>
          <w:rFonts w:eastAsia="Calibri" w:cs="Times New Roman" w:ascii="Times New Roman" w:hAnsi="Times New Roman"/>
          <w:sz w:val="28"/>
          <w:szCs w:val="28"/>
          <w:lang w:val="en-US" w:eastAsia="en-US"/>
        </w:rPr>
        <w:t> 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245-49-23, доб. 1088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</w:rPr>
        <w:br/>
      </w:r>
      <w:r>
        <w:rPr>
          <w:rFonts w:eastAsia="Times New Roman" w:cs="Times New Roman" w:ascii="Times New Roman" w:hAnsi="Times New Roman"/>
          <w:sz w:val="24"/>
          <w:szCs w:val="24"/>
        </w:rPr>
        <w:t>25press_rosreestr@mail.ru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690091, Владивосток, ул. Посьетская, д. </w:t>
      </w:r>
      <w:r>
        <w:rPr>
          <w:rFonts w:cs="Times New Roman" w:ascii="Times New Roman" w:hAnsi="Times New Roman"/>
          <w:sz w:val="24"/>
          <w:szCs w:val="24"/>
        </w:rPr>
        <w:t>48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36"/>
          <w:szCs w:val="36"/>
          <w:highlight w:val="none"/>
        </w:rPr>
      </w:pPr>
      <w:r>
        <w:rPr>
          <w:rFonts w:cs="Times New Roman" w:ascii="Times New Roman" w:hAnsi="Times New Roman"/>
          <w:sz w:val="36"/>
          <w:szCs w:val="36"/>
        </w:rPr>
      </w:r>
    </w:p>
    <w:p>
      <w:pPr>
        <w:pStyle w:val="Normal"/>
        <w:spacing w:lineRule="auto" w:line="240" w:beforeAutospacing="0" w:before="0" w:afterAutospacing="0" w:after="0"/>
        <w:jc w:val="both"/>
        <w:rPr>
          <w:rFonts w:ascii="Nimbus Roman" w:hAnsi="Nimbus Roman" w:cs="Nimbus Roman"/>
          <w:b/>
          <w:bCs w:val="false"/>
          <w:i w:val="false"/>
          <w:i w:val="false"/>
          <w:color w:val="273350"/>
          <w:sz w:val="36"/>
          <w:szCs w:val="36"/>
          <w:highlight w:val="none"/>
          <w:u w:val="single"/>
        </w:rPr>
      </w:pPr>
      <w:r>
        <w:rPr>
          <w:rFonts w:cs="Nimbus Roman" w:ascii="Nimbus Roman" w:hAnsi="Nimbus Roman"/>
          <w:b/>
          <w:bCs/>
          <w:i w:val="false"/>
          <w:color w:val="273350"/>
          <w:sz w:val="36"/>
          <w:szCs w:val="36"/>
          <w:highlight w:val="white"/>
          <w:u w:val="single"/>
        </w:rPr>
        <w:t>Приморский Росреестр информирует: как владельцу садового участка стать участником программы социальной догазификации?</w:t>
      </w:r>
    </w:p>
    <w:p>
      <w:pPr>
        <w:pStyle w:val="Normal"/>
        <w:spacing w:lineRule="exact" w:line="300" w:beforeAutospacing="0" w:before="0" w:afterAutospacing="0" w:after="0"/>
        <w:jc w:val="both"/>
        <w:rPr>
          <w:rFonts w:ascii="Nimbus Roman" w:hAnsi="Nimbus Roman" w:cs="Nimbus Roman"/>
          <w:b/>
          <w:bCs w:val="false"/>
          <w:i w:val="false"/>
          <w:i w:val="false"/>
          <w:color w:val="273350"/>
          <w:sz w:val="28"/>
          <w:szCs w:val="28"/>
          <w:highlight w:val="white"/>
          <w:u w:val="single"/>
        </w:rPr>
      </w:pPr>
      <w:r>
        <w:rPr>
          <w:rFonts w:cs="Nimbus Roman" w:ascii="Nimbus Roman" w:hAnsi="Nimbus Roman"/>
          <w:b/>
          <w:bCs w:val="false"/>
          <w:i w:val="false"/>
          <w:color w:val="273350"/>
          <w:sz w:val="28"/>
          <w:szCs w:val="28"/>
          <w:highlight w:val="white"/>
          <w:u w:val="single"/>
        </w:rPr>
      </w:r>
    </w:p>
    <w:p>
      <w:pPr>
        <w:pStyle w:val="Normal"/>
        <w:pBdr/>
        <w:ind w:firstLine="283" w:start="0" w:end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Программа бесплатной газификации до границ участка доступна не всем собственникам земель СНТ. Главное условие участия – наличие на территории 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жилого дома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, право собственности на который официально зарегистрировано в Едином государственном реестре недвижимости.</w:t>
      </w:r>
    </w:p>
    <w:p>
      <w:pPr>
        <w:pStyle w:val="Normal"/>
        <w:pBdr/>
        <w:ind w:firstLine="283" w:start="0" w:end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Если ваш участок находится в границах газифицированного населенного пункта, но дом по документам значится как «садовый», воспользоваться льготой не получится. Чтобы подключиться к программе, строение необходимо перевести в статус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жилого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. Сделать это можно двумя способами в зависимости от состояния здания.</w:t>
      </w:r>
    </w:p>
    <w:p>
      <w:pPr>
        <w:pStyle w:val="Normal"/>
        <w:pBdr/>
        <w:ind w:firstLine="283" w:start="0" w:end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I Если реконструкция не требуется (дом уже пригоден для проживания)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Собственнику достаточно получить решение органа местного самоуправления о признании садового дома жилым. </w:t>
      </w:r>
    </w:p>
    <w:p>
      <w:pPr>
        <w:pStyle w:val="ListParagraph"/>
        <w:numPr>
          <w:ilvl w:val="0"/>
          <w:numId w:val="2"/>
        </w:numPr>
        <w:pBdr/>
        <w:spacing w:before="0" w:after="0"/>
        <w:ind w:firstLine="283" w:start="0" w:end="0"/>
        <w:contextualSpacing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Это упрощенный порядок смены назначения дома без проведения строительных работ.</w:t>
      </w:r>
    </w:p>
    <w:p>
      <w:pPr>
        <w:pStyle w:val="ListParagraph"/>
        <w:numPr>
          <w:ilvl w:val="0"/>
          <w:numId w:val="2"/>
        </w:numPr>
        <w:pBdr/>
        <w:spacing w:before="0" w:after="0"/>
        <w:ind w:firstLine="283" w:start="0" w:end="0"/>
        <w:contextualSpacing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После получения положительного решения муниципалитета данные вносятся в Единый государственный реестр недвижимости (ЕГРН).</w:t>
      </w:r>
    </w:p>
    <w:p>
      <w:pPr>
        <w:pStyle w:val="ListParagraph"/>
        <w:numPr>
          <w:ilvl w:val="0"/>
          <w:numId w:val="2"/>
        </w:numPr>
        <w:pBdr/>
        <w:spacing w:before="0" w:after="160"/>
        <w:ind w:firstLine="283" w:start="0" w:end="0"/>
        <w:contextualSpacing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 выписке из реестра назначение объекта изменится с «нежилое» на «жилое». С этого момента собственник получает полное право подать заявку на социальную догазификацию.</w:t>
      </w:r>
    </w:p>
    <w:p>
      <w:pPr>
        <w:pStyle w:val="Normal"/>
        <w:pBdr/>
        <w:ind w:firstLine="283" w:start="0" w:end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II Если дому нужна реконструкция</w:t>
      </w:r>
    </w:p>
    <w:p>
      <w:pPr>
        <w:pStyle w:val="Normal"/>
        <w:pBdr/>
        <w:ind w:firstLine="283" w:start="0" w:end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Действующее законодательство позволяет проводить реконструкцию садовых домов и менять их назначение вплоть до 1 марта 2031 года. Для этого необходимо:</w:t>
      </w:r>
    </w:p>
    <w:p>
      <w:pPr>
        <w:pStyle w:val="ListParagraph"/>
        <w:numPr>
          <w:ilvl w:val="0"/>
          <w:numId w:val="1"/>
        </w:numPr>
        <w:pBdr/>
        <w:spacing w:before="0" w:after="0"/>
        <w:ind w:firstLine="283" w:start="0" w:end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Проведение строительных работ по изменению характеристик дома.</w:t>
      </w:r>
    </w:p>
    <w:p>
      <w:pPr>
        <w:pStyle w:val="ListParagraph"/>
        <w:numPr>
          <w:ilvl w:val="0"/>
          <w:numId w:val="1"/>
        </w:numPr>
        <w:pBdr/>
        <w:spacing w:before="0" w:after="0"/>
        <w:ind w:firstLine="283" w:start="0" w:end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Привлечение кадастрового инженера. Специалист зафиксирует новые параметры здания и подготовит технический план. Именно в этом документе инженер укажет изменившееся назначение объекта – «жилой дом».</w:t>
      </w:r>
    </w:p>
    <w:p>
      <w:pPr>
        <w:pStyle w:val="ListParagraph"/>
        <w:numPr>
          <w:ilvl w:val="0"/>
          <w:numId w:val="1"/>
        </w:numPr>
        <w:pBdr/>
        <w:spacing w:before="0" w:after="160"/>
        <w:ind w:firstLine="283" w:start="0" w:end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Подача заявления в Росреестр. На основании технического плана осуществляется государственный кадастровый учет изменений. Старые сведения заменяются новыми, и дом официально становится жилым.</w:t>
      </w:r>
    </w:p>
    <w:p>
      <w:pPr>
        <w:pStyle w:val="Normal"/>
        <w:pBdr/>
        <w:ind w:firstLine="283" w:start="0" w:end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pBdr/>
        <w:ind w:firstLine="283" w:start="0" w:end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</w:rPr>
        <w:t>«Возможность подключения газа напрямую зависит от записи в графе «Назначение» вашей выписки из ЕГРН. Если там указано «Жилой дом» – вы можете подавать заявку на догазификацию. Если стоит отметка «Садовый дом» – сначала пройдите процедуру перевода статуса через администрацию или путем реконструкции», – комментирует и.о. заместителя руководителя Управления Росреестра по Приморскому краю.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i/>
          <w:i/>
          <w:iCs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i/>
          <w:iCs/>
          <w:sz w:val="28"/>
          <w:szCs w:val="28"/>
        </w:rPr>
      </w:r>
    </w:p>
    <w:p>
      <w:pPr>
        <w:pStyle w:val="Normal"/>
        <w:suppressLineNumbers w:val="0"/>
        <w:ind w:firstLine="720"/>
        <w:jc w:val="both"/>
        <w:rPr>
          <w:rFonts w:ascii="Times New Roman" w:hAnsi="Times New Roman" w:eastAsia="Times New Roman" w:cs="Times New Roman"/>
          <w:b w:val="false"/>
          <w:bCs w:val="false"/>
          <w:sz w:val="28"/>
          <w:szCs w:val="28"/>
          <w:highlight w:val="none"/>
        </w:rPr>
      </w:pPr>
      <w:r>
        <w:rPr/>
        <w:br/>
      </w:r>
      <w:r>
        <mc:AlternateContent>
          <mc:Choice Requires="wps">
            <w:drawing>
              <wp:anchor behindDoc="0" distT="0" distB="19050" distL="0" distR="19050" simplePos="0" locked="0" layoutInCell="0" allowOverlap="1" relativeHeight="3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6000750" cy="635"/>
                <wp:effectExtent l="8255" t="8890" r="8890" b="8255"/>
                <wp:wrapNone/>
                <wp:docPr id="2" name="Прямая со стрелкой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840" cy="7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Прямая со стрелкой 1" path="m0,0l-2147483648,-2147483647e" stroked="t" o:allowincell="f" style="position:absolute;margin-left:0pt;margin-top:0.25pt;width:472.45pt;height:0pt;mso-wrap-style:none;v-text-anchor:middle;mso-position-horizontal:left;mso-position-horizontal-relative:margin" type="_x0000_t32">
                <v:fill o:detectmouseclick="t" on="false"/>
                <v:stroke color="#0070c0" weight="15840" joinstyle="round" endcap="flat"/>
                <w10:wrap type="none"/>
              </v:shape>
            </w:pict>
          </mc:Fallback>
        </mc:AlternateContent>
      </w:r>
      <w:r>
        <w:rPr>
          <w:rFonts w:eastAsia="Arial Unicode MS" w:cs="Segoe UI" w:ascii="Segoe UI" w:hAnsi="Segoe UI"/>
          <w:b/>
          <w:sz w:val="24"/>
          <w:szCs w:val="24"/>
          <w:lang w:eastAsia="sk-SK" w:bidi="hi-IN"/>
        </w:rPr>
        <w:t>О Росреестре</w:t>
      </w:r>
    </w:p>
    <w:p>
      <w:pPr>
        <w:pStyle w:val="Normal"/>
        <w:widowControl w:val="false"/>
        <w:spacing w:lineRule="auto" w:line="240" w:before="240" w:after="240"/>
        <w:jc w:val="both"/>
        <w:rPr>
          <w:rFonts w:ascii="Segoe UI" w:hAnsi="Segoe UI" w:eastAsia="Arial Unicode MS" w:cs="Segoe UI"/>
          <w:sz w:val="18"/>
          <w:szCs w:val="18"/>
          <w:lang w:eastAsia="hi-IN" w:bidi="hi-IN"/>
        </w:rPr>
      </w:pPr>
      <w:r>
        <w:rPr>
          <w:rFonts w:eastAsia="Arial Unicode MS" w:cs="Segoe UI" w:ascii="Segoe UI" w:hAnsi="Segoe UI"/>
          <w:sz w:val="18"/>
          <w:szCs w:val="18"/>
          <w:lang w:eastAsia="hi-IN" w:bidi="hi-IN"/>
        </w:rPr>
        <w:t xml:space="preserve">Федеральная служба государственной регистрации, кадастра и картографии (Росреестр) является федеральным органом исполнительной власти, осуществляющим функции по государственной регистрации прав на недвижимое имущество и сделок с ним, по оказанию государственных услуг в сфере ведения государственного кадастра недвижимости, проведению государственного кадастрового учета недвижимого имущества, землеустройства, государственного мониторинга земель, навигационного обеспечения транспортного комплекса,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Подведомственными учреждениями Росреестра являются ППК «Роскадастр» и ФГБУ «Центр геодезии, картографии и ИПД». </w:t>
      </w:r>
    </w:p>
    <w:sectPr>
      <w:type w:val="nextPage"/>
      <w:pgSz w:w="11906" w:h="16838"/>
      <w:pgMar w:left="1701" w:right="850" w:gutter="0" w:header="0" w:top="567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Arial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Nimbus Roman">
    <w:charset w:val="01"/>
    <w:family w:val="roman"/>
    <w:pitch w:val="default"/>
  </w:font>
  <w:font w:name="Liberation Sans">
    <w:altName w:val="Arial"/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isLgl/>
      <w:numFmt w:val="decimal"/>
      <w:lvlText w:val="%1."/>
      <w:lvlJc w:val="start"/>
      <w:pPr>
        <w:tabs>
          <w:tab w:val="num" w:pos="0"/>
        </w:tabs>
        <w:ind w:start="709" w:hanging="360"/>
      </w:pPr>
      <w:rPr/>
    </w:lvl>
    <w:lvl w:ilvl="1">
      <w:start w:val="1"/>
      <w:isLgl/>
      <w:numFmt w:val="lowerLetter"/>
      <w:lvlText w:val="%2."/>
      <w:lvlJc w:val="start"/>
      <w:pPr>
        <w:tabs>
          <w:tab w:val="num" w:pos="0"/>
        </w:tabs>
        <w:ind w:start="1429" w:hanging="360"/>
      </w:pPr>
      <w:rPr/>
    </w:lvl>
    <w:lvl w:ilvl="2">
      <w:start w:val="1"/>
      <w:isLgl/>
      <w:numFmt w:val="lowerRoman"/>
      <w:lvlText w:val="%3."/>
      <w:lvlJc w:val="end"/>
      <w:pPr>
        <w:tabs>
          <w:tab w:val="num" w:pos="0"/>
        </w:tabs>
        <w:ind w:start="2149" w:hanging="180"/>
      </w:pPr>
      <w:rPr/>
    </w:lvl>
    <w:lvl w:ilvl="3">
      <w:start w:val="1"/>
      <w:isLgl/>
      <w:numFmt w:val="decimal"/>
      <w:lvlText w:val="%4."/>
      <w:lvlJc w:val="start"/>
      <w:pPr>
        <w:tabs>
          <w:tab w:val="num" w:pos="0"/>
        </w:tabs>
        <w:ind w:start="2869" w:hanging="360"/>
      </w:pPr>
      <w:rPr/>
    </w:lvl>
    <w:lvl w:ilvl="4">
      <w:start w:val="1"/>
      <w:isLgl/>
      <w:numFmt w:val="lowerLetter"/>
      <w:lvlText w:val="%5."/>
      <w:lvlJc w:val="start"/>
      <w:pPr>
        <w:tabs>
          <w:tab w:val="num" w:pos="0"/>
        </w:tabs>
        <w:ind w:start="3589" w:hanging="360"/>
      </w:pPr>
      <w:rPr/>
    </w:lvl>
    <w:lvl w:ilvl="5">
      <w:start w:val="1"/>
      <w:isLgl/>
      <w:numFmt w:val="lowerRoman"/>
      <w:lvlText w:val="%6."/>
      <w:lvlJc w:val="end"/>
      <w:pPr>
        <w:tabs>
          <w:tab w:val="num" w:pos="0"/>
        </w:tabs>
        <w:ind w:start="4309" w:hanging="180"/>
      </w:pPr>
      <w:rPr/>
    </w:lvl>
    <w:lvl w:ilvl="6">
      <w:start w:val="1"/>
      <w:isLgl/>
      <w:numFmt w:val="decimal"/>
      <w:lvlText w:val="%7."/>
      <w:lvlJc w:val="start"/>
      <w:pPr>
        <w:tabs>
          <w:tab w:val="num" w:pos="0"/>
        </w:tabs>
        <w:ind w:start="5029" w:hanging="360"/>
      </w:pPr>
      <w:rPr/>
    </w:lvl>
    <w:lvl w:ilvl="7">
      <w:start w:val="1"/>
      <w:isLgl/>
      <w:numFmt w:val="lowerLetter"/>
      <w:lvlText w:val="%8."/>
      <w:lvlJc w:val="start"/>
      <w:pPr>
        <w:tabs>
          <w:tab w:val="num" w:pos="0"/>
        </w:tabs>
        <w:ind w:start="5749" w:hanging="360"/>
      </w:pPr>
      <w:rPr/>
    </w:lvl>
    <w:lvl w:ilvl="8">
      <w:start w:val="1"/>
      <w:isLgl/>
      <w:numFmt w:val="lowerRoman"/>
      <w:lvlText w:val="%9."/>
      <w:lvlJc w:val="end"/>
      <w:pPr>
        <w:tabs>
          <w:tab w:val="num" w:pos="0"/>
        </w:tabs>
        <w:ind w:start="6469" w:hanging="180"/>
      </w:pPr>
      <w:rPr/>
    </w:lvl>
  </w:abstractNum>
  <w:abstractNum w:abstractNumId="2">
    <w:lvl w:ilvl="0">
      <w:start w:val="1"/>
      <w:isLgl/>
      <w:numFmt w:val="bullet"/>
      <w:lvlText w:val="–"/>
      <w:lvlJc w:val="start"/>
      <w:pPr>
        <w:tabs>
          <w:tab w:val="num" w:pos="0"/>
        </w:tabs>
        <w:ind w:start="1418" w:hanging="360"/>
      </w:pPr>
      <w:rPr>
        <w:rFonts w:ascii="Liberation Sans" w:hAnsi="Liberation Sans" w:cs="Liberation Sans" w:hint="default"/>
      </w:rPr>
    </w:lvl>
    <w:lvl w:ilvl="1">
      <w:start w:val="1"/>
      <w:isLgl/>
      <w:numFmt w:val="bullet"/>
      <w:lvlText w:val="o"/>
      <w:lvlJc w:val="start"/>
      <w:pPr>
        <w:tabs>
          <w:tab w:val="num" w:pos="0"/>
        </w:tabs>
        <w:ind w:start="2138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§"/>
      <w:lvlJc w:val="start"/>
      <w:pPr>
        <w:tabs>
          <w:tab w:val="num" w:pos="0"/>
        </w:tabs>
        <w:ind w:start="2858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·"/>
      <w:lvlJc w:val="start"/>
      <w:pPr>
        <w:tabs>
          <w:tab w:val="num" w:pos="0"/>
        </w:tabs>
        <w:ind w:start="3578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start"/>
      <w:pPr>
        <w:tabs>
          <w:tab w:val="num" w:pos="0"/>
        </w:tabs>
        <w:ind w:start="4298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§"/>
      <w:lvlJc w:val="start"/>
      <w:pPr>
        <w:tabs>
          <w:tab w:val="num" w:pos="0"/>
        </w:tabs>
        <w:ind w:start="5018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·"/>
      <w:lvlJc w:val="start"/>
      <w:pPr>
        <w:tabs>
          <w:tab w:val="num" w:pos="0"/>
        </w:tabs>
        <w:ind w:start="5738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start"/>
      <w:pPr>
        <w:tabs>
          <w:tab w:val="num" w:pos="0"/>
        </w:tabs>
        <w:ind w:start="6458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§"/>
      <w:lvlJc w:val="start"/>
      <w:pPr>
        <w:tabs>
          <w:tab w:val="num" w:pos="0"/>
        </w:tabs>
        <w:ind w:start="7178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Autospacing="0" w:before="0" w:afterAutospacing="0" w:after="200"/>
      <w:jc w:val="start"/>
    </w:pPr>
    <w:rPr>
      <w:rFonts w:eastAsia="Arial" w:eastAsiaTheme="minorEastAsia" w:ascii="Calibri" w:hAnsi="Calibri" w:cs="Arial"/>
      <w:color w:val="auto"/>
      <w:kern w:val="0"/>
      <w:sz w:val="22"/>
      <w:szCs w:val="22"/>
      <w:lang w:eastAsia="ru-RU" w:val="ru-RU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lineRule="auto" w:line="259" w:before="240" w:after="0"/>
      <w:outlineLvl w:val="0"/>
    </w:pPr>
    <w:rPr>
      <w:rFonts w:ascii="Calibri Light" w:hAnsi="Calibri Light" w:eastAsia="Arial" w:cs="Arial" w:asciiTheme="majorHAnsi" w:cstheme="majorBidi" w:eastAsiaTheme="majorEastAsia" w:hAnsiTheme="majorHAnsi"/>
      <w:color w:themeColor="accent1" w:themeShade="bf" w:val="2E74B5"/>
      <w:sz w:val="32"/>
      <w:szCs w:val="32"/>
      <w:lang w:eastAsia="en-US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7" w:customStyle="1">
    <w:name w:val="Текст выноски Знак"/>
    <w:basedOn w:val="DefaultParagraphFont"/>
    <w:uiPriority w:val="99"/>
    <w:semiHidden/>
    <w:qFormat/>
    <w:rPr>
      <w:rFonts w:ascii="Segoe UI" w:hAnsi="Segoe UI" w:cs="Segoe UI"/>
      <w:sz w:val="18"/>
      <w:szCs w:val="18"/>
    </w:rPr>
  </w:style>
  <w:style w:type="character" w:styleId="1" w:customStyle="1">
    <w:name w:val="Заголовок 1 Знак"/>
    <w:basedOn w:val="DefaultParagraphFont"/>
    <w:uiPriority w:val="9"/>
    <w:qFormat/>
    <w:rPr>
      <w:rFonts w:ascii="Calibri Light" w:hAnsi="Calibri Light" w:eastAsia="Arial" w:cs="Arial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Hyperlink">
    <w:name w:val="Hyperlink"/>
    <w:basedOn w:val="DefaultParagraphFont"/>
    <w:uiPriority w:val="99"/>
    <w:unhideWhenUsed/>
    <w:rPr>
      <w:color w:themeColor="hyperlink"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8" w:customStyle="1">
    <w:name w:val="Текст примечания Знак"/>
    <w:basedOn w:val="DefaultParagraphFont"/>
    <w:uiPriority w:val="99"/>
    <w:semiHidden/>
    <w:qFormat/>
    <w:rPr>
      <w:sz w:val="20"/>
      <w:szCs w:val="20"/>
    </w:rPr>
  </w:style>
  <w:style w:type="character" w:styleId="Style9" w:customStyle="1">
    <w:name w:val="Тема примечания Знак"/>
    <w:basedOn w:val="Style8"/>
    <w:uiPriority w:val="99"/>
    <w:semiHidden/>
    <w:qFormat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1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start="720" w:end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160"/>
      <w:ind w:start="720" w:end="720"/>
    </w:pPr>
    <w:rPr>
      <w:i/>
    </w:rPr>
  </w:style>
  <w:style w:type="paragraph" w:styleId="Style12">
    <w:name w:val="Колонтитулы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start="0" w:end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start="283" w:end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start="567" w:end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start="850" w:end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start="1134" w:end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start="1417" w:end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start="1701" w:end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start="1984" w:end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start="2268" w:end="0"/>
    </w:pPr>
    <w:rPr/>
  </w:style>
  <w:style w:type="paragraph" w:styleId="IndexHeading">
    <w:name w:val="index heading"/>
    <w:basedOn w:val="Style10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59" w:beforeAutospacing="0" w:before="0" w:afterAutospacing="0" w:after="160"/>
      <w:jc w:val="star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BalloonText">
    <w:name w:val="Balloon Text"/>
    <w:basedOn w:val="Normal"/>
    <w:uiPriority w:val="99"/>
    <w:semiHidden/>
    <w:unhideWhenUsed/>
    <w:qFormat/>
    <w:pPr>
      <w:spacing w:lineRule="auto" w:line="240" w:before="0" w:after="0"/>
    </w:pPr>
    <w:rPr>
      <w:rFonts w:ascii="Segoe UI" w:hAnsi="Segoe UI" w:eastAsia="Calibri" w:cs="Segoe UI" w:eastAsiaTheme="minorHAnsi"/>
      <w:sz w:val="18"/>
      <w:szCs w:val="18"/>
      <w:lang w:eastAsia="en-US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Autospacing="0" w:before="0" w:afterAutospacing="0" w:after="0"/>
      <w:jc w:val="star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pPr>
      <w:spacing w:lineRule="auto" w:line="257" w:before="0" w:after="160"/>
      <w:ind w:start="720"/>
      <w:contextualSpacing/>
    </w:pPr>
    <w:rPr>
      <w:rFonts w:eastAsia="Calibri" w:eastAsiaTheme="minorHAnsi"/>
      <w:lang w:eastAsia="en-US"/>
    </w:rPr>
  </w:style>
  <w:style w:type="paragraph" w:styleId="CommentText">
    <w:name w:val="annotation text"/>
    <w:basedOn w:val="Normal"/>
    <w:uiPriority w:val="99"/>
    <w:semiHidden/>
    <w:unhideWhenUsed/>
    <w:pPr>
      <w:spacing w:lineRule="auto" w:line="240" w:before="0" w:after="160"/>
    </w:pPr>
    <w:rPr>
      <w:rFonts w:eastAsia="Calibri" w:eastAsiaTheme="minorHAnsi"/>
      <w:sz w:val="20"/>
      <w:szCs w:val="20"/>
      <w:lang w:eastAsia="en-US"/>
    </w:rPr>
  </w:style>
  <w:style w:type="paragraph" w:styleId="annotationsubject">
    <w:name w:val="annotation subject"/>
    <w:basedOn w:val="CommentText"/>
    <w:uiPriority w:val="99"/>
    <w:semiHidden/>
    <w:unhideWhenUsed/>
    <w:qFormat/>
    <w:pPr/>
    <w:rPr>
      <w:b/>
      <w:bCs/>
    </w:rPr>
  </w:style>
  <w:style w:type="paragraph" w:styleId="NormalWeb">
    <w:name w:val="Normal (Web)"/>
    <w:basedOn w:val="Normal"/>
    <w:uiPriority w:val="99"/>
    <w:unhideWhenUsed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onsPlusNormal" w:customStyle="1">
    <w:name w:val="ConsPlusNormal"/>
    <w:qFormat/>
    <w:pPr>
      <w:keepNext w:val="false"/>
      <w:keepLines w:val="false"/>
      <w:pageBreakBefore w:val="false"/>
      <w:widowControl/>
      <w:pBdr/>
      <w:shd w:val="nil"/>
      <w:bidi w:val="0"/>
      <w:spacing w:lineRule="auto" w:line="240" w:beforeAutospacing="0" w:before="0" w:afterAutospacing="0" w:after="0"/>
      <w:ind w:hanging="0" w:start="0" w:end="0"/>
      <w:jc w:val="start"/>
    </w:pPr>
    <w:rPr>
      <w:rFonts w:ascii="Times New Roman" w:hAnsi="Times New Roman" w:eastAsia="Calibri" w:cs="Times New Roman" w:eastAsiaTheme="minorHAnsi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themeColor="text1" w:val="000000"/>
      <w:spacing w:val="0"/>
      <w:kern w:val="0"/>
      <w:position w:val="0"/>
      <w:sz w:val="28"/>
      <w:sz w:val="28"/>
      <w:szCs w:val="28"/>
      <w:u w:val="none"/>
      <w:vertAlign w:val="baseline"/>
      <w:lang w:val="ru-RU" w:eastAsia="en-US" w:bidi="ar-SA"/>
      <w14:ligatures w14:val="none"/>
    </w:rPr>
  </w:style>
  <w:style w:type="numbering" w:styleId="Style13" w:default="1">
    <w:name w:val="Без списка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LibreOffice/25.8.3.2$Linux_X86_64 LibreOffice_project/580$Build-2</Application>
  <AppVersion>15.0000</AppVersion>
  <Pages>2</Pages>
  <Words>397</Words>
  <Characters>2962</Characters>
  <CharactersWithSpaces>3478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2023-08-16T23:21:00Z</dcterms:created>
  <dc:creator>Пушкарская Диана Дмитриевна</dc:creator>
  <dc:description/>
  <dc:language>ru-RU</dc:language>
  <cp:lastModifiedBy>lazarenkotn</cp:lastModifiedBy>
  <dcterms:modified xsi:type="dcterms:W3CDTF">2026-07-15T01:22:36Z</dcterms:modified>
  <cp:revision>133</cp:revision>
  <dc:subject/>
  <dc:title/>
</cp:coreProperties>
</file>