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/>
      </w:pPr>
      <w:r>
        <w:rPr/>
        <w:drawing>
          <wp:inline distT="0" distB="0" distL="0" distR="0">
            <wp:extent cx="1984375" cy="72961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                                                          </w:t>
      </w:r>
    </w:p>
    <w:p>
      <w:pPr>
        <w:pStyle w:val="NoSpacing"/>
        <w:rPr/>
      </w:pPr>
      <w:r>
        <w:rPr/>
      </w:r>
    </w:p>
    <w:p>
      <w:pPr>
        <w:pStyle w:val="NoSpacing"/>
        <w:jc w:val="end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26.08.2026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Пресс-служба Управления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Росреестра по Приморскому краю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+7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(423)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245-49-23, доб. 1088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>25press_rosreestr@mail.ru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690091, Владивосток, ул. Посьетская, д. </w:t>
      </w:r>
      <w:r>
        <w:rPr>
          <w:rFonts w:cs="Times New Roman" w:ascii="Times New Roman" w:hAnsi="Times New Roman"/>
          <w:sz w:val="24"/>
          <w:szCs w:val="24"/>
        </w:rPr>
        <w:t>48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spacing w:lineRule="auto" w:line="240" w:beforeAutospacing="0" w:before="0" w:afterAutospacing="0" w:after="0"/>
        <w:jc w:val="both"/>
        <w:rPr/>
      </w:pPr>
      <w:r>
        <w:rPr>
          <w:rFonts w:cs="Nimbus Roman" w:ascii="Nimbus Roman" w:hAnsi="Nimbus Roman"/>
          <w:b/>
          <w:bCs/>
          <w:i w:val="false"/>
          <w:color w:val="273350"/>
          <w:sz w:val="36"/>
          <w:szCs w:val="36"/>
          <w:highlight w:val="white"/>
          <w:u w:val="single"/>
        </w:rPr>
        <w:t>Приморский Росреестр разъясняет: как изменить вид разрешенного использования земельных участков в СНТ.</w:t>
      </w:r>
    </w:p>
    <w:p>
      <w:pPr>
        <w:pStyle w:val="Normal"/>
        <w:spacing w:lineRule="exact" w:line="30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28"/>
          <w:szCs w:val="28"/>
          <w:highlight w:val="white"/>
          <w:u w:val="single"/>
        </w:rPr>
      </w:pPr>
      <w:r>
        <w:rPr>
          <w:rFonts w:cs="Nimbus Roman" w:ascii="Nimbus Roman" w:hAnsi="Nimbus Roman"/>
          <w:b/>
          <w:bCs w:val="false"/>
          <w:i w:val="false"/>
          <w:color w:val="273350"/>
          <w:sz w:val="28"/>
          <w:szCs w:val="28"/>
          <w:highlight w:val="white"/>
          <w:u w:val="single"/>
        </w:rPr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В Приморский Росреестр участились случаи обращения граждан по вопросу изменения вида разрешенного использования земельных участков, расположенных в границах территории ведения гражданами садоводства и огородничества, на иные виды разрешенного использования (например, на вид «индивидуальное жилищное строительство»).</w:t>
      </w:r>
    </w:p>
    <w:p>
      <w:pPr>
        <w:pStyle w:val="Normal"/>
        <w:pBdr/>
        <w:shd w:val="clear" w:color="FFFFFF" w:themeColor="background1" w:fill="FFFFFF" w:themeFill="background1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С 01.03.2026 вступили в силу 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>изменения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 в Земельный кодекс Российской Федерации,  Федеральный закон от 29.07.2017 № 217-ФЗ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highlight w:val="white"/>
        </w:rPr>
        <w:t>«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  <w:highlight w:val="white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highlight w:val="white"/>
        </w:rPr>
        <w:t>»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, которые коснулись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>установления (изменения) видов разрешенного использования земельных участков. </w:t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По общему правилу виды разрешенного использования земельных участков выбираются правообладателями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 xml:space="preserve"> самостоятельно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 (без разрешений и согласований) из видов разрешенного использования, установленных градостроительным регламентом.</w:t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Однако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>особенности изменения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 вида разрешенного использования садовых земельных участков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>определяются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 с учетом специальных требований, предусмотренных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>Законом № 217-ФЗ.</w:t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 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Законом № 217-ФЗ установлен запрет на изменение вида разрешенного использования в  отношении отдельных садовых или огородных земельных участков. </w:t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highlight w:val="none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 xml:space="preserve">Главное правило: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</w:rPr>
        <w:t>Поменять назначение одного конкретного участка внутри действующего СНТ на ИЖС будет нельзя. Закон запрещает переводить отдельные дачи из «садоводства» в «жилищное строительство». Если вы захотите это сделать для себя лично – орган регистрации примет решение об отказе.</w:t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highlight w:val="none"/>
        </w:rPr>
      </w:pPr>
      <w:r>
        <w:rPr>
          <w:rFonts w:cs="Times New Roman" w:ascii="Times New Roman" w:hAnsi="Times New Roman"/>
        </w:rPr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highlight w:val="none"/>
        </w:rPr>
      </w:pPr>
      <w:r>
        <w:rPr>
          <w:rFonts w:cs="Times New Roman" w:ascii="Times New Roman" w:hAnsi="Times New Roman"/>
        </w:rPr>
      </w:r>
    </w:p>
    <w:p>
      <w:pPr>
        <w:pStyle w:val="Normal"/>
        <w:pBdr/>
        <w:shd w:val="clear" w:color="FFFFFF" w:fill="FFFFFF"/>
        <w:spacing w:before="0" w:after="210"/>
        <w:ind w:firstLine="709" w:start="0" w:end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Когда смена ВРИ допускается (исключения из правил):</w:t>
      </w:r>
    </w:p>
    <w:p>
      <w:pPr>
        <w:pStyle w:val="ListParagraph"/>
        <w:numPr>
          <w:ilvl w:val="0"/>
          <w:numId w:val="1"/>
        </w:numPr>
        <w:pBdr/>
        <w:shd w:val="clear" w:color="FFFFFF" w:fill="FFFFFF"/>
        <w:spacing w:before="0" w:after="210"/>
        <w:ind w:hanging="360" w:start="1418" w:end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Если все соседи по товариществу договорятся сменить статус земель и преобразоваться из СНТ в ТСЖ (товарищество собственников жилья).</w:t>
      </w:r>
    </w:p>
    <w:p>
      <w:pPr>
        <w:pStyle w:val="ListParagraph"/>
        <w:numPr>
          <w:ilvl w:val="0"/>
          <w:numId w:val="1"/>
        </w:numPr>
        <w:pBdr/>
        <w:shd w:val="clear" w:color="FFFFFF" w:fill="FFFFFF"/>
        <w:spacing w:before="0" w:after="210"/>
        <w:ind w:hanging="360" w:start="1418" w:end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земельный участок изымается для государственных или муниципальных нужд (например,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для строительства дорог, школ).</w:t>
      </w:r>
    </w:p>
    <w:p>
      <w:pPr>
        <w:pStyle w:val="ListParagraph"/>
        <w:numPr>
          <w:ilvl w:val="0"/>
          <w:numId w:val="1"/>
        </w:numPr>
        <w:pBdr/>
        <w:shd w:val="clear" w:color="FFFFFF" w:fill="FFFFFF"/>
        <w:spacing w:before="0" w:after="210"/>
        <w:ind w:hanging="360" w:start="1418" w:end="0"/>
        <w:contextualSpacing/>
        <w:jc w:val="both"/>
        <w:rPr>
          <w:rFonts w:ascii="Times New Roman" w:hAnsi="Times New Roman" w:cs="Times New Roman"/>
          <w:b w:val="false"/>
          <w:bCs w:val="false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земельный участок включен в границы территории, подлежащей комплексному развитию территории.</w:t>
      </w:r>
    </w:p>
    <w:p>
      <w:pPr>
        <w:pStyle w:val="Normal"/>
        <w:pBdr/>
        <w:spacing w:lineRule="atLeast" w:line="288" w:before="168" w:after="0"/>
        <w:ind w:firstLine="540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Согласно Закону № 217-ФЗ (ч. 12 ст. 54) некоммерческая организация, образованная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 xml:space="preserve"> до дня вступления в силу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u w:val="none"/>
        </w:rPr>
        <w:t>Закона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 xml:space="preserve"> № 217-ФЗ (до 01.01.2019) 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 для ведения садоводства или дачного хозяйства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</w:rPr>
        <w:t xml:space="preserve">вправе внести изменения 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в свой устав, указав в нем организационно-правовую форму "товарищество собственников недвижимости" и вид "товарищество собственников жилья", соблюдая следующие условия: </w:t>
      </w:r>
    </w:p>
    <w:p>
      <w:pPr>
        <w:pStyle w:val="Normal"/>
        <w:pBdr/>
        <w:spacing w:lineRule="atLeast" w:line="288" w:before="168" w:after="0"/>
        <w:ind w:firstLine="540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1) земельные участки, образованные в результате раздела земельного участка, предоставленного такой некоммерческой организации, расположены в границах населенного пункта;</w:t>
      </w:r>
    </w:p>
    <w:p>
      <w:pPr>
        <w:pStyle w:val="Normal"/>
        <w:pBdr/>
        <w:spacing w:lineRule="atLeast" w:line="288" w:before="168" w:after="0"/>
        <w:ind w:firstLine="540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2) на всех земельных участках, образованных из земельного участка, предоставленного такой некоммерческой организации, размещены жилые дома.</w:t>
      </w:r>
    </w:p>
    <w:p>
      <w:pPr>
        <w:pStyle w:val="Normal"/>
        <w:pBdr/>
        <w:spacing w:lineRule="atLeast" w:line="288" w:before="168" w:after="0"/>
        <w:ind w:firstLine="540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pBdr/>
        <w:shd w:val="clear" w:color="FFFFFF" w:fill="FFFFFF"/>
        <w:spacing w:before="0" w:after="210"/>
        <w:ind w:hanging="0" w:start="0" w:end="0"/>
        <w:contextualSpacing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Алгоритм: сначала на общем собрании принимается решение об изменении устава СНТ, а затем вид разрешенного использования участков меняется на ИЖС.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pBdr/>
        <w:shd w:val="clear" w:color="FFFFFF" w:fill="FFFFFF"/>
        <w:spacing w:before="0" w:after="210"/>
        <w:ind w:hanging="0" w:start="0" w:end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«Подать заявление в Росреестр для внесения изменений должны одновременно все собственники земельных участков товарищества. Изменить назначение земли поодиночке нельзя», – уточняет начальник отдела государственной регистрации недвижимости № 1 Управления Росреестра по Приморскому краю Белозёрская Елена. </w:t>
      </w:r>
    </w:p>
    <w:p>
      <w:pPr>
        <w:pStyle w:val="Normal"/>
        <w:pBdr/>
        <w:spacing w:lineRule="auto" w:line="276" w:before="0" w:after="0"/>
        <w:ind w:hanging="0" w:start="0" w:end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uppressLineNumbers w:val="0"/>
        <w:ind w:firstLine="72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</w:rPr>
      </w:pPr>
      <w:r>
        <w:rPr/>
        <w:br/>
      </w:r>
      <w:r>
        <mc:AlternateContent>
          <mc:Choice Requires="wps">
            <w:drawing>
              <wp:anchor behindDoc="0" distT="0" distB="19050" distL="0" distR="19050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000750" cy="635"/>
                <wp:effectExtent l="8255" t="8890" r="8890" b="8255"/>
                <wp:wrapNone/>
                <wp:docPr id="2" name="Прямая со стрелко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840" cy="7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1" path="m0,0l-2147483648,-2147483647e" stroked="t" o:allowincell="f" style="position:absolute;margin-left:0pt;margin-top:0.25pt;width:472.45pt;height:0pt;mso-wrap-style:none;v-text-anchor:middle;mso-position-horizontal:left;mso-position-horizontal-relative:margin" type="_x0000_t32">
                <v:fill o:detectmouseclick="t" on="false"/>
                <v:stroke color="#0070c0" weight="15840" joinstyle="round" endcap="flat"/>
                <w10:wrap type="none"/>
              </v:shape>
            </w:pict>
          </mc:Fallback>
        </mc:AlternateContent>
      </w:r>
      <w:r>
        <w:rPr>
          <w:rFonts w:eastAsia="Arial Unicode MS" w:cs="Segoe UI" w:ascii="Segoe UI" w:hAnsi="Segoe UI"/>
          <w:b/>
          <w:sz w:val="24"/>
          <w:szCs w:val="24"/>
          <w:lang w:eastAsia="sk-SK" w:bidi="hi-IN"/>
        </w:rPr>
        <w:t>О Росреестре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Segoe UI" w:hAnsi="Segoe UI" w:eastAsia="Arial Unicode MS" w:cs="Segoe UI"/>
          <w:sz w:val="18"/>
          <w:szCs w:val="18"/>
          <w:lang w:eastAsia="hi-IN" w:bidi="hi-IN"/>
        </w:rPr>
      </w:pPr>
      <w:r>
        <w:rPr>
          <w:rFonts w:eastAsia="Arial Unicode MS" w:cs="Segoe UI" w:ascii="Segoe UI" w:hAnsi="Segoe UI"/>
          <w:sz w:val="18"/>
          <w:szCs w:val="18"/>
          <w:lang w:eastAsia="hi-IN" w:bidi="hi-IN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ППК «Роскадастр» и ФГБУ «Центр геодезии, картографии и ИПД». </w:t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Nimbus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1418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2138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858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3578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4298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5018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738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6458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717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eastAsia="Arial" w:eastAsiaTheme="minorEastAsia" w:ascii="Calibri" w:hAnsi="Calibri" w:cs="Arial"/>
      <w:color w:val="auto"/>
      <w:kern w:val="0"/>
      <w:sz w:val="22"/>
      <w:szCs w:val="22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lineRule="auto" w:line="259"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35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9" w:customStyle="1">
    <w:name w:val="Тема примечания Знак"/>
    <w:basedOn w:val="Style8"/>
    <w:uiPriority w:val="99"/>
    <w:semiHidden/>
    <w:qFormat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57" w:before="0" w:after="160"/>
      <w:ind w:start="720"/>
      <w:contextualSpacing/>
    </w:pPr>
    <w:rPr>
      <w:rFonts w:eastAsia="Calibri" w:eastAsiaTheme="minorHAnsi"/>
      <w:lang w:eastAsia="en-US"/>
    </w:rPr>
  </w:style>
  <w:style w:type="paragraph" w:styleId="CommentText">
    <w:name w:val="annotation text"/>
    <w:basedOn w:val="Normal"/>
    <w:uiPriority w:val="99"/>
    <w:semiHidden/>
    <w:unhideWhenUsed/>
    <w:pPr>
      <w:spacing w:lineRule="auto" w:line="240" w:before="0" w:after="160"/>
    </w:pPr>
    <w:rPr>
      <w:rFonts w:eastAsia="Calibri" w:eastAsia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Calibri" w:cs="Times New Roman" w:eastAsia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themeColor="text1" w:val="000000"/>
      <w:spacing w:val="0"/>
      <w:kern w:val="0"/>
      <w:position w:val="0"/>
      <w:sz w:val="28"/>
      <w:sz w:val="28"/>
      <w:szCs w:val="28"/>
      <w:u w:val="none"/>
      <w:vertAlign w:val="baseline"/>
      <w:lang w:val="ru-RU" w:eastAsia="en-US" w:bidi="ar-SA"/>
      <w14:ligatures w14:val="none"/>
    </w:rPr>
  </w:style>
  <w:style w:type="numbering" w:styleId="Style13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LibreOffice/25.8.3.2$Linux_X86_64 LibreOffice_project/580$Build-2</Application>
  <AppVersion>15.0000</AppVersion>
  <Pages>2</Pages>
  <Words>490</Words>
  <Characters>3753</Characters>
  <CharactersWithSpaces>4367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2023-08-16T23:21:00Z</dcterms:created>
  <dc:creator>Пушкарская Диана Дмитриевна</dc:creator>
  <dc:description/>
  <dc:language>ru-RU</dc:language>
  <cp:lastModifiedBy>lazarenkotn</cp:lastModifiedBy>
  <cp:lastPrinted>2026-08-26T09:20:50Z</cp:lastPrinted>
  <dcterms:modified xsi:type="dcterms:W3CDTF">2026-08-25T22:58:43Z</dcterms:modified>
  <cp:revision>133</cp:revision>
  <dc:subject/>
  <dc:title/>
</cp:coreProperties>
</file>