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/>
      </w:pPr>
      <w:r>
        <w:rPr/>
        <w:drawing>
          <wp:inline distT="0" distB="0" distL="0" distR="0">
            <wp:extent cx="1984375" cy="72961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                                                                                  </w:t>
      </w:r>
    </w:p>
    <w:p>
      <w:pPr>
        <w:pStyle w:val="NoSpacing"/>
        <w:rPr/>
      </w:pPr>
      <w:r>
        <w:rPr/>
      </w:r>
    </w:p>
    <w:p>
      <w:pPr>
        <w:pStyle w:val="NoSpacing"/>
        <w:jc w:val="end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29.07.2026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Пресс-служба Управления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Росреестра по Приморскому краю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+7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(423)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245-49-23, доб. 1088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</w:rPr>
        <w:br/>
      </w:r>
      <w:r>
        <w:rPr>
          <w:rFonts w:eastAsia="Times New Roman" w:cs="Times New Roman" w:ascii="Times New Roman" w:hAnsi="Times New Roman"/>
          <w:sz w:val="24"/>
          <w:szCs w:val="24"/>
        </w:rPr>
        <w:t>25press_rosreestr@mail.ru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690091, Владивосток, ул. Посьетская, д. </w:t>
      </w:r>
      <w:r>
        <w:rPr>
          <w:rFonts w:cs="Times New Roman" w:ascii="Times New Roman" w:hAnsi="Times New Roman"/>
          <w:sz w:val="24"/>
          <w:szCs w:val="24"/>
        </w:rPr>
        <w:t>48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6"/>
          <w:szCs w:val="36"/>
          <w:highlight w:val="none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spacing w:lineRule="auto" w:line="240" w:beforeAutospacing="0" w:before="0" w:afterAutospacing="0" w:after="0"/>
        <w:jc w:val="both"/>
        <w:rPr>
          <w:rFonts w:ascii="Nimbus Roman" w:hAnsi="Nimbus Roman" w:cs="Nimbus Roman"/>
          <w:b/>
          <w:bCs w:val="false"/>
          <w:i w:val="false"/>
          <w:i w:val="false"/>
          <w:color w:val="273350"/>
          <w:sz w:val="36"/>
          <w:szCs w:val="36"/>
          <w:highlight w:val="none"/>
          <w:u w:val="single"/>
        </w:rPr>
      </w:pPr>
      <w:r>
        <w:rPr>
          <w:rFonts w:cs="Nimbus Roman" w:ascii="Nimbus Roman" w:hAnsi="Nimbus Roman"/>
          <w:b/>
          <w:bCs w:val="false"/>
          <w:i w:val="false"/>
          <w:color w:val="273350"/>
          <w:sz w:val="36"/>
          <w:szCs w:val="36"/>
          <w:u w:val="single"/>
        </w:rPr>
        <w:t>Итоги первого десятилетия с момента реализации программы «Дальневосточный и Арктический гектар»</w:t>
      </w:r>
    </w:p>
    <w:p>
      <w:pPr>
        <w:pStyle w:val="Normal"/>
        <w:spacing w:lineRule="exact" w:line="300" w:beforeAutospacing="0" w:before="0" w:afterAutospacing="0" w:after="0"/>
        <w:jc w:val="both"/>
        <w:rPr>
          <w:rFonts w:ascii="Nimbus Roman" w:hAnsi="Nimbus Roman" w:cs="Nimbus Roman"/>
          <w:b/>
          <w:bCs w:val="false"/>
          <w:i w:val="false"/>
          <w:i w:val="false"/>
          <w:color w:val="273350"/>
          <w:sz w:val="28"/>
          <w:szCs w:val="28"/>
          <w:highlight w:val="white"/>
          <w:u w:val="single"/>
        </w:rPr>
      </w:pPr>
      <w:r>
        <w:rPr>
          <w:rFonts w:cs="Nimbus Roman" w:ascii="Nimbus Roman" w:hAnsi="Nimbus Roman"/>
          <w:b/>
          <w:bCs w:val="false"/>
          <w:i w:val="false"/>
          <w:color w:val="273350"/>
          <w:sz w:val="28"/>
          <w:szCs w:val="28"/>
          <w:highlight w:val="white"/>
          <w:u w:val="single"/>
        </w:rPr>
      </w:r>
    </w:p>
    <w:p>
      <w:pPr>
        <w:pStyle w:val="Normal"/>
        <w:pBdr/>
        <w:shd w:val="clear" w:color="FFFFFF" w:fill="FFFFFF"/>
        <w:spacing w:before="0" w:after="210"/>
        <w:ind w:hanging="0" w:start="0" w:end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Руководитель Управления Росреестра по Приморскому краю Александр Корнев принял участие во II Межрегиональной конференции для субъектов РФ Дальневосточного федерального округа и Арктической зоны по развитию земельно-имущественных отношений на Дальнем Востоке и в Арктике. </w:t>
      </w:r>
    </w:p>
    <w:p>
      <w:pPr>
        <w:pStyle w:val="Normal"/>
        <w:pBdr/>
        <w:shd w:val="clear" w:color="FFFFFF" w:fill="FFFFFF"/>
        <w:spacing w:before="0" w:after="210"/>
        <w:ind w:hanging="0" w:start="0" w:end="0"/>
        <w:jc w:val="both"/>
        <w:rPr>
          <w:rFonts w:ascii="Times New Roman" w:hAnsi="Times New Roman" w:cs="Times New Roman"/>
          <w:color w:themeColor="text1"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Мероприятие приурочено к 10-летию реализации программы «Гектар на Дальнем Востоке и в Арктике». </w:t>
      </w:r>
    </w:p>
    <w:p>
      <w:pPr>
        <w:pStyle w:val="Normal"/>
        <w:pBdr/>
        <w:shd w:val="clear" w:color="FFFFFF" w:fill="FFFFFF"/>
        <w:spacing w:before="0" w:after="210"/>
        <w:ind w:hanging="0" w:start="0" w:end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Организаторами выступают Министерство Российской Федерации по развитию Дальнего Востока и Арктики, Корпорация развития Дальнего Востока и Арктики (КРДВ) и Правительство Приморского края.</w:t>
      </w:r>
    </w:p>
    <w:p>
      <w:pPr>
        <w:pStyle w:val="Normal"/>
        <w:pBdr/>
        <w:shd w:val="clear" w:color="FFFFFF" w:fill="FFFFFF"/>
        <w:spacing w:before="0" w:after="210"/>
        <w:ind w:hanging="0" w:start="0" w:end="0"/>
        <w:jc w:val="both"/>
        <w:rPr>
          <w:rFonts w:ascii="Times New Roman" w:hAnsi="Times New Roman" w:cs="Times New Roman"/>
          <w:color w:themeColor="text1"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Конференция объединила более 50 участников -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highlight w:val="white"/>
        </w:rPr>
        <w:t>руководителей профильных министерств и ведомств субъектов Дальневосточного федерального округа и Арктической зоны Российской Федерации, представителей Минвостокразвития России, АО КРДВ, Росреестра, Роскадастра, органов местного самоуправления и институтов развития. </w:t>
      </w:r>
    </w:p>
    <w:p>
      <w:pPr>
        <w:pStyle w:val="Normal"/>
        <w:pBdr/>
        <w:shd w:val="clear" w:color="FFFFFF" w:fill="FFFFFF"/>
        <w:spacing w:before="0" w:after="210"/>
        <w:ind w:hanging="0" w:start="0" w:end="0"/>
        <w:jc w:val="both"/>
        <w:rPr>
          <w:rFonts w:ascii="Times New Roman" w:hAnsi="Times New Roman" w:cs="Times New Roman"/>
          <w:color w:themeColor="text1"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В центре событий – анализ прошедшего десятилетия по реализации программы: трансформация из смелого социального эксперимента в реальный инструмент демографической политики. </w:t>
      </w:r>
    </w:p>
    <w:p>
      <w:pPr>
        <w:pStyle w:val="Normal"/>
        <w:pBdr/>
        <w:spacing w:before="300" w:after="300"/>
        <w:ind w:hanging="0" w:start="0" w:end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Приморье остается одним из лидеров программы. За десять лет в регионе подано более 115 тысяч заявлений, что составляет 34% от общего количества заявок на Дальнем Востоке. Более 43 тысяч граждан получили земельные участки, почти 10 тысяч из них оформили их в собственность. Сегодня в регионе продолжается рассмотрение еще около 2,5 тысячи заявлений - отметила в видеобращении первый вице-губернатор Приморского края – Председатель Правительства Приморского края </w:t>
      </w: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</w:rPr>
        <w:t>Вера Щербина.</w:t>
      </w:r>
    </w:p>
    <w:p>
      <w:pPr>
        <w:pStyle w:val="Normal"/>
        <w:pBdr/>
        <w:shd w:val="clear" w:color="FFFFFF" w:fill="FFFFFF"/>
        <w:spacing w:before="0" w:after="210"/>
        <w:ind w:hanging="0" w:start="0" w:end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Первоначальный интерес, вызванный самой идеей бесплатного предоставления земли, сменился прагматичным этапом освоения. Анализ показал, что успешность проекта напрямую зависит не от факта получения участка, а от наличия базовой инфраструктуры – дорог, электричества и связи.</w:t>
      </w:r>
    </w:p>
    <w:p>
      <w:pPr>
        <w:pStyle w:val="Normal"/>
        <w:pBdr/>
        <w:shd w:val="clear" w:color="FFFFFF" w:fill="FFFFFF"/>
        <w:spacing w:before="0" w:after="210"/>
        <w:ind w:hanging="0" w:start="0" w:end="0"/>
        <w:jc w:val="both"/>
        <w:rPr>
          <w:rFonts w:ascii="Times New Roman" w:hAnsi="Times New Roman" w:cs="Times New Roman"/>
          <w:color w:themeColor="text1"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highlight w:val="white"/>
        </w:rPr>
        <w:t>«За десять лет программа "Гектар" помогла более 180 тысячам человек связать свое будущее с Дальним Востоком и Арктикой. Люди строят дома, создают фермерские хозяйства, туристические проекты и семейный бизнес. Программа продолжает развиваться: расширяется земельный фонд, совершенствуются цифровые сервисы и механизмы поддержки. Наша задача – сделать получение земли и реализацию проектов максимально удобными для каждого участника», – отметил Министр Российской Федерации по развитию Дальнего Востока и Арктики Алексей Чекунков.</w:t>
      </w:r>
    </w:p>
    <w:p>
      <w:pPr>
        <w:pStyle w:val="Normal"/>
        <w:pBdr/>
        <w:shd w:val="clear" w:color="FFFFFF" w:fill="FFFFFF"/>
        <w:spacing w:before="0" w:after="210"/>
        <w:ind w:hanging="0" w:start="0" w:end="0"/>
        <w:jc w:val="both"/>
        <w:rPr>
          <w:rFonts w:ascii="Times New Roman" w:hAnsi="Times New Roman" w:cs="Times New Roman"/>
          <w:color w:themeColor="text1"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«Только благодаря достигнутому взаимопониманию между органами власти: будь то специалист муниципалитета или органа регистрации прав, мы все заняты одним общим делом – созданием комфортных условий для реализации программы» – поблагодарил коллег руководитель Управления Росреестра по Приморскому краю Александр Корнев. </w:t>
      </w:r>
    </w:p>
    <w:p>
      <w:pPr>
        <w:pStyle w:val="Normal"/>
        <w:pBdr/>
        <w:shd w:val="clear" w:color="FFFFFF" w:fill="FFFFFF"/>
        <w:spacing w:before="0" w:after="210"/>
        <w:ind w:hanging="0" w:start="0" w:end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Во второй день Межрегиональная конференция для представителей субъектов Российской Федерации Дальневосточного федерального округа и Арктической зоны Российской Федерации запланирована выездная сессия для ознакомления с туристическими проектами, выставкой продукции местных предпринимателей.</w:t>
      </w:r>
    </w:p>
    <w:p>
      <w:pPr>
        <w:pStyle w:val="Normal"/>
        <w:rPr/>
      </w:pPr>
      <w:r>
        <w:rPr/>
      </w:r>
    </w:p>
    <w:p>
      <w:pPr>
        <w:pStyle w:val="Normal"/>
        <w:pBdr/>
        <w:ind w:firstLine="708"/>
        <w:jc w:val="both"/>
        <w:rPr>
          <w:rFonts w:ascii="PT Astra Serif" w:hAnsi="PT Astra Serif" w:eastAsia="PT Astra Serif" w:cs="PT Astra Serif"/>
          <w:b w:val="false"/>
          <w:bCs/>
          <w:i/>
          <w:i/>
          <w:color w:themeColor="text1" w:val="000000"/>
          <w:spacing w:val="6"/>
          <w:sz w:val="28"/>
          <w:szCs w:val="28"/>
          <w:highlight w:val="none"/>
          <w14:ligatures w14:val="none"/>
        </w:rPr>
      </w:pPr>
      <w:r>
        <w:rPr>
          <w:rFonts w:eastAsia="PT Astra Serif" w:cs="PT Astra Serif" w:ascii="PT Astra Serif" w:hAnsi="PT Astra Serif"/>
          <w:b w:val="false"/>
          <w:bCs/>
          <w:i/>
          <w:color w:themeColor="text1" w:val="000000"/>
          <w:spacing w:val="6"/>
          <w:sz w:val="28"/>
          <w:szCs w:val="28"/>
          <w14:ligatures w14:val="none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i/>
          <w:i/>
          <w:iCs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uppressLineNumbers w:val="0"/>
        <w:ind w:firstLine="720"/>
        <w:jc w:val="both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highlight w:val="none"/>
        </w:rPr>
      </w:pPr>
      <w:r>
        <w:rPr/>
        <w:br/>
      </w:r>
      <w:r>
        <mc:AlternateContent>
          <mc:Choice Requires="wps">
            <w:drawing>
              <wp:anchor behindDoc="0" distT="0" distB="19050" distL="0" distR="19050" simplePos="0" locked="0" layoutInCell="0" allowOverlap="1" relativeHeight="3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000750" cy="635"/>
                <wp:effectExtent l="8255" t="8890" r="8890" b="8255"/>
                <wp:wrapNone/>
                <wp:docPr id="2" name="Прямая со стрелкой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840" cy="7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1" path="m0,0l-2147483648,-2147483647e" stroked="t" o:allowincell="f" style="position:absolute;margin-left:0pt;margin-top:0.25pt;width:472.45pt;height:0pt;mso-wrap-style:none;v-text-anchor:middle;mso-position-horizontal:left;mso-position-horizontal-relative:margin" type="_x0000_t32">
                <v:fill o:detectmouseclick="t" on="false"/>
                <v:stroke color="#0070c0" weight="15840" joinstyle="round" endcap="flat"/>
                <w10:wrap type="none"/>
              </v:shape>
            </w:pict>
          </mc:Fallback>
        </mc:AlternateContent>
      </w:r>
      <w:r>
        <w:rPr>
          <w:rFonts w:eastAsia="Arial Unicode MS" w:cs="Segoe UI" w:ascii="Segoe UI" w:hAnsi="Segoe UI"/>
          <w:b/>
          <w:sz w:val="24"/>
          <w:szCs w:val="24"/>
          <w:lang w:eastAsia="sk-SK" w:bidi="hi-IN"/>
        </w:rPr>
        <w:t>О Росреестре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Segoe UI" w:hAnsi="Segoe UI" w:eastAsia="Arial Unicode MS" w:cs="Segoe UI"/>
          <w:sz w:val="18"/>
          <w:szCs w:val="18"/>
          <w:lang w:eastAsia="hi-IN" w:bidi="hi-IN"/>
        </w:rPr>
      </w:pPr>
      <w:r>
        <w:rPr>
          <w:rFonts w:eastAsia="Arial Unicode MS" w:cs="Segoe UI" w:ascii="Segoe UI" w:hAnsi="Segoe UI"/>
          <w:sz w:val="18"/>
          <w:szCs w:val="18"/>
          <w:lang w:eastAsia="hi-IN" w:bidi="hi-IN"/>
        </w:rPr>
        <w:t xml:space="preserve">Федеральная служба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ППК «Роскадастр» и ФГБУ «Центр геодезии, картографии и ИПД». </w:t>
      </w:r>
    </w:p>
    <w:sectPr>
      <w:type w:val="nextPage"/>
      <w:pgSz w:w="11906" w:h="16838"/>
      <w:pgMar w:left="1701" w:right="850" w:gutter="0" w:header="0" w:top="56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Nimbus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start"/>
    </w:pPr>
    <w:rPr>
      <w:rFonts w:eastAsia="Arial" w:eastAsiaTheme="minorEastAsia" w:ascii="Calibri" w:hAnsi="Calibri" w:cs="Arial"/>
      <w:color w:val="auto"/>
      <w:kern w:val="0"/>
      <w:sz w:val="22"/>
      <w:szCs w:val="22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lineRule="auto" w:line="259" w:before="240" w:after="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  <w:lang w:eastAsia="en-US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35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semiHidden/>
    <w:qFormat/>
    <w:rPr>
      <w:sz w:val="20"/>
      <w:szCs w:val="20"/>
    </w:rPr>
  </w:style>
  <w:style w:type="character" w:styleId="Style9" w:customStyle="1">
    <w:name w:val="Тема примечания Знак"/>
    <w:basedOn w:val="Style8"/>
    <w:uiPriority w:val="99"/>
    <w:semiHidden/>
    <w:qFormat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start="720" w:end="720"/>
    </w:pPr>
    <w:rPr>
      <w:i/>
    </w:rPr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Autospacing="0" w:before="0" w:afterAutospacing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eastAsia="Calibri" w:cs="Segoe UI" w:eastAsiaTheme="minorHAnsi"/>
      <w:sz w:val="18"/>
      <w:szCs w:val="18"/>
      <w:lang w:eastAsia="en-U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lineRule="auto" w:line="257" w:before="0" w:after="160"/>
      <w:ind w:start="720"/>
      <w:contextualSpacing/>
    </w:pPr>
    <w:rPr>
      <w:rFonts w:eastAsia="Calibri" w:eastAsiaTheme="minorHAnsi"/>
      <w:lang w:eastAsia="en-US"/>
    </w:rPr>
  </w:style>
  <w:style w:type="paragraph" w:styleId="CommentText">
    <w:name w:val="annotation text"/>
    <w:basedOn w:val="Normal"/>
    <w:uiPriority w:val="99"/>
    <w:semiHidden/>
    <w:unhideWhenUsed/>
    <w:pPr>
      <w:spacing w:lineRule="auto" w:line="240" w:before="0" w:after="160"/>
    </w:pPr>
    <w:rPr>
      <w:rFonts w:eastAsia="Calibri" w:eastAsiaTheme="minorHAnsi"/>
      <w:sz w:val="20"/>
      <w:szCs w:val="20"/>
      <w:lang w:eastAsia="en-US"/>
    </w:rPr>
  </w:style>
  <w:style w:type="paragraph" w:styleId="annotationsubject">
    <w:name w:val="annotation subject"/>
    <w:basedOn w:val="CommentText"/>
    <w:uiPriority w:val="99"/>
    <w:semiHidden/>
    <w:unhideWhenUsed/>
    <w:qFormat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 w:customStyle="1">
    <w:name w:val="ConsPlusNormal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Times New Roman" w:hAnsi="Times New Roman" w:eastAsia="Calibri" w:cs="Times New Roman" w:eastAsiaTheme="minorHAns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themeColor="text1" w:val="000000"/>
      <w:spacing w:val="0"/>
      <w:kern w:val="0"/>
      <w:position w:val="0"/>
      <w:sz w:val="28"/>
      <w:sz w:val="28"/>
      <w:szCs w:val="28"/>
      <w:u w:val="none"/>
      <w:vertAlign w:val="baseline"/>
      <w:lang w:val="ru-RU" w:eastAsia="en-US" w:bidi="ar-SA"/>
      <w14:ligatures w14:val="none"/>
    </w:rPr>
  </w:style>
  <w:style w:type="numbering" w:styleId="Style13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LibreOffice/25.8.3.2$Linux_X86_64 LibreOffice_project/580$Build-2</Application>
  <AppVersion>15.0000</AppVersion>
  <Pages>2</Pages>
  <Words>477</Words>
  <Characters>3630</Characters>
  <CharactersWithSpaces>4239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2023-08-16T23:21:00Z</dcterms:created>
  <dc:creator>Пушкарская Диана Дмитриевна</dc:creator>
  <dc:description/>
  <dc:language>ru-RU</dc:language>
  <cp:lastModifiedBy>lazarenkotn</cp:lastModifiedBy>
  <dcterms:modified xsi:type="dcterms:W3CDTF">2026-07-29T06:57:49Z</dcterms:modified>
  <cp:revision>133</cp:revision>
  <dc:subject/>
  <dc:title/>
</cp:coreProperties>
</file>