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/>
      </w:pPr>
      <w:r>
        <w:rPr/>
        <w:drawing>
          <wp:inline distT="0" distB="0" distL="0" distR="0">
            <wp:extent cx="1984375" cy="72961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                                                          </w:t>
      </w:r>
    </w:p>
    <w:p>
      <w:pPr>
        <w:pStyle w:val="NoSpacing"/>
        <w:rPr/>
      </w:pPr>
      <w:r>
        <w:rPr/>
      </w:r>
    </w:p>
    <w:p>
      <w:pPr>
        <w:pStyle w:val="NoSpacing"/>
        <w:jc w:val="end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27.07.2026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Пресс-служба Управления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Росреестра по Приморскому краю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+7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(423)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245-49-23, доб. 1088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>25press_rosreestr@mail.ru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690091, Владивосток, ул. Посьетская, д. </w:t>
      </w:r>
      <w:r>
        <w:rPr>
          <w:rFonts w:cs="Times New Roman" w:ascii="Times New Roman" w:hAnsi="Times New Roman"/>
          <w:sz w:val="24"/>
          <w:szCs w:val="24"/>
        </w:rPr>
        <w:t>48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36"/>
          <w:szCs w:val="36"/>
          <w:highlight w:val="none"/>
          <w:u w:val="single"/>
        </w:rPr>
      </w:pPr>
      <w:r>
        <w:rPr>
          <w:rFonts w:cs="Nimbus Roman" w:ascii="Nimbus Roman" w:hAnsi="Nimbus Roman"/>
          <w:b/>
          <w:bCs/>
          <w:i w:val="false"/>
          <w:color w:val="273350"/>
          <w:sz w:val="36"/>
          <w:szCs w:val="36"/>
          <w:highlight w:val="white"/>
          <w:u w:val="single"/>
        </w:rPr>
        <w:t>Приморский Росреестр разъясняет: а вы уверены, что ваша квартира точно ваша?</w:t>
      </w:r>
    </w:p>
    <w:p>
      <w:pPr>
        <w:pStyle w:val="Normal"/>
        <w:spacing w:lineRule="exact" w:line="30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28"/>
          <w:szCs w:val="28"/>
          <w:highlight w:val="white"/>
          <w:u w:val="single"/>
        </w:rPr>
      </w:pPr>
      <w:r>
        <w:rPr>
          <w:rFonts w:cs="Nimbus Roman" w:ascii="Nimbus Roman" w:hAnsi="Nimbus Roman"/>
          <w:b/>
          <w:bCs w:val="false"/>
          <w:i w:val="false"/>
          <w:color w:val="273350"/>
          <w:sz w:val="28"/>
          <w:szCs w:val="28"/>
          <w:highlight w:val="white"/>
          <w:u w:val="single"/>
        </w:rPr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Некоторые приморцы в «надежном месте» хранят главные сокровища начала  80-х или 90-х: договоры приватизации, справки из БТИ или те самые розовые свидетельства о собственности. Указанные документы подтверждают законность владения объектом, однако при отсутствии сведений об объекте и его собственнике в Едином государственном реестре недвижимости (ЕГРН) возникают существенные правовые риски.</w:t>
      </w:r>
    </w:p>
    <w:p>
      <w:pPr>
        <w:pStyle w:val="Normal"/>
        <w:pBdr/>
        <w:ind w:firstLine="708"/>
        <w:jc w:val="both"/>
        <w:rPr>
          <w:b/>
          <w:bCs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 xml:space="preserve"> </w:t>
      </w:r>
      <w:r>
        <w:rPr>
          <w:rFonts w:eastAsia="PT Astra Serif" w:cs="PT Astra Serif" w:ascii="PT Astra Serif" w:hAnsi="PT Astra Serif"/>
          <w:b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«Ранее возникшее право» – это невидимые права для Росреестра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 xml:space="preserve">Речь идет о правах, которые возникли до 31 января 1998 года – т.е. до вступления в силу закона о государственной регистрации прав на недвижимость. До этого момента учет вели бюро технической инвентаризации (БТИ) и местные администрации. 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 xml:space="preserve">Если сведения о вашей квартире не содержатся в ЕГРН, вы сталкиваетесь с ситуацией, при которой исправно платите налог на имущество, но ваше право не закреплено за вами в реестре, ведь его регистрация носит заявительный характер. 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Важно:</w:t>
      </w: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 xml:space="preserve"> наличие налогового уведомления не гарантирует, что ваше право зарегистрировано в ЕГРН.</w:t>
      </w:r>
    </w:p>
    <w:p>
      <w:pPr>
        <w:pStyle w:val="Normal"/>
        <w:pBdr/>
        <w:ind w:firstLine="708"/>
        <w:jc w:val="center"/>
        <w:rPr>
          <w:b/>
          <w:bCs/>
          <w:i w:val="false"/>
          <w:i w:val="false"/>
        </w:rPr>
      </w:pPr>
      <w:r>
        <w:rPr>
          <w:rFonts w:eastAsia="PT Astra Serif" w:cs="PT Astra Serif" w:ascii="PT Astra Serif" w:hAnsi="PT Astra Serif"/>
          <w:b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Последствия отсутствия записи в ЕГРН для распоряжения имуществом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 xml:space="preserve">При попытке совершить сделку с объектом (купля-продажа, дарение) или зарегистрировать переход права в связи с вступлением в наследство государственный регистратор прав выносит решение о приостановлении учетно-регистрационных действий. Основанием служит отсутствие в ЕГРН записи о праве собственности лица, выступающего стороной сделки. 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Вместо быстрого оформления договора купли-продажи начнется процесс подтверждения права собственности. В условиях срочной продажи это почти всегда означает потерю времени и потенциального покупателя, а для наследников – невозможность своевременного получения свидетельства о праве на наследство и необходимость обращения в суд.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Кроме того, отсутствие актуальной записи в ЕГРН влечет следующие риски: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·</w:t>
        <w:tab/>
        <w:t>Угроза мошеннических действий. Отсутствие цифрового контроля позволяет недобросовестным лицам совершать противоправные действия с объектами недвижимости по поддельным документам.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·</w:t>
        <w:tab/>
        <w:t>Земельно-имущественные споры. Неопределенность границ земельных участков приводит к конфликтам с соседями и риску двойных продаж.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·</w:t>
        <w:tab/>
        <w:t>Отказы кредитных организаций и государственных структур. Банки при выдаче ипотечных кредитов, Социальный фонд России при использовании средств материнского капитала, органы местного самоуправления при выплате компенсаций за утрату/повреждение недвижимости в связи с природными катаклизмами требуют предоставления актуальных выписок из ЕГРН.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·</w:t>
        <w:tab/>
        <w:t>Проблемы со страхованием имущества. Страховые компании вправе отказать в заключении договора страхования или выплате возмещения при отсутствии подтверждения законного статуса правообладателя.</w:t>
      </w:r>
    </w:p>
    <w:p>
      <w:pPr>
        <w:pStyle w:val="Normal"/>
        <w:pBdr/>
        <w:ind w:firstLine="708"/>
        <w:jc w:val="both"/>
        <w:rPr>
          <w:b/>
          <w:bCs/>
          <w:i w:val="false"/>
          <w:i w:val="false"/>
        </w:rPr>
      </w:pPr>
      <w:r>
        <w:rPr>
          <w:rFonts w:eastAsia="PT Astra Serif" w:cs="PT Astra Serif" w:ascii="PT Astra Serif" w:hAnsi="PT Astra Serif"/>
          <w:b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Порядок проверки сведений и внесения данных в ЕГРН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Прежде чем обращаться в Многофункциональный центр предоставления государственных и муниципальных услуг (МФЦ), убедитесь, что проблема вообще существует. Проверить можно бесплатно и онлайн: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1.</w:t>
        <w:tab/>
        <w:t>Зайдите на портал Госуслуг в личный кабинет, раздел «Недвижимость». Если объект там есть – все в порядке.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2.</w:t>
        <w:tab/>
        <w:t>Воспользуйтесь бесплатным сервисом на официальном сайте Росреестра – «Справочная информация по объектам недвижимости в режиме online» или на портале НСПД (Национальная система пространственных данных). Достаточно ввести адрес. Если по вашему адресу портал выдает пустую строку или надпись «сведения отсутствуют» – пора действовать.</w:t>
      </w:r>
    </w:p>
    <w:p>
      <w:pPr>
        <w:pStyle w:val="Normal"/>
        <w:pBdr/>
        <w:ind w:firstLine="708"/>
        <w:jc w:val="both"/>
        <w:rPr>
          <w:bCs w:val="false"/>
          <w:i w:val="false"/>
          <w:i w:val="false"/>
        </w:rPr>
      </w:pPr>
      <w:r>
        <w:rPr>
          <w:rFonts w:eastAsia="PT Astra Serif" w:cs="PT Astra Serif" w:ascii="PT Astra Serif" w:hAnsi="PT Astra Serif"/>
          <w:b w:val="false"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 xml:space="preserve">Вам нужно прийти в любой удобный офис МФЦ  с паспортом и оригиналом правоустанавливающих документов (например, договор приватизации, договор купли-продажи 90-х годов, свидетельство о праве на наследство). Сотрудник многофункционального центра осуществляет прием заявления, сканирование документов и их передачу в территориальный орган Росреестра. Срок внесения сведений обычно составляет от 5 до 9 рабочих дней. </w:t>
      </w:r>
    </w:p>
    <w:p>
      <w:pPr>
        <w:pStyle w:val="Normal"/>
        <w:pBdr/>
        <w:ind w:firstLine="708"/>
        <w:jc w:val="both"/>
        <w:rPr/>
      </w:pPr>
      <w:r>
        <w:rPr>
          <w:rFonts w:eastAsia="PT Astra Serif" w:cs="PT Astra Serif" w:ascii="PT Astra Serif" w:hAnsi="PT Astra Serif"/>
          <w:b w:val="false"/>
          <w:bCs/>
          <w:i/>
          <w:color w:themeColor="text1" w:val="000000"/>
          <w:spacing w:val="6"/>
          <w:sz w:val="28"/>
          <w:szCs w:val="28"/>
          <w14:ligatures w14:val="none"/>
        </w:rPr>
        <w:t>«Процедура постановки ранее возникшего права сейчас максимально упрощена. Более того, она полностью бесплатна – госпошлина за регистрацию таких прав отменена. По результатам регистрации заявитель получает уведомление, после чего может заказать актуальную выписку из ЕГРН. Регистрация ранее возникшего права обеспечивает защиту имущественных интересов гражданина и легализует объект в ЕГРН», – комментирует руководитель Управления Росреестра по Приморскому краю Александр Корнев.</w:t>
      </w:r>
    </w:p>
    <w:p>
      <w:pPr>
        <w:pStyle w:val="Normal"/>
        <w:pBdr/>
        <w:ind w:firstLine="708"/>
        <w:jc w:val="both"/>
        <w:rPr>
          <w:rFonts w:ascii="PT Astra Serif" w:hAnsi="PT Astra Serif" w:eastAsia="PT Astra Serif" w:cs="PT Astra Serif"/>
          <w:b/>
          <w:bCs/>
          <w:i w:val="false"/>
          <w:i w:val="false"/>
          <w:iCs w:val="false"/>
          <w:color w:themeColor="text1" w:val="000000"/>
          <w:spacing w:val="6"/>
          <w:sz w:val="28"/>
          <w:szCs w:val="28"/>
          <w:highlight w:val="none"/>
          <w14:ligatures w14:val="none"/>
        </w:rPr>
      </w:pPr>
      <w:r>
        <w:rPr>
          <w:rFonts w:eastAsia="PT Astra Serif" w:cs="PT Astra Serif" w:ascii="PT Astra Serif" w:hAnsi="PT Astra Serif"/>
          <w:b/>
          <w:bCs/>
          <w:i w:val="false"/>
          <w:iCs w:val="false"/>
          <w:color w:themeColor="text1" w:val="000000"/>
          <w:spacing w:val="6"/>
          <w:sz w:val="28"/>
          <w:szCs w:val="28"/>
          <w14:ligatures w14:val="none"/>
        </w:rPr>
        <w:t>С момента реализации Закона № 518 зарегистрированы права на 105 229 объектов недвижимого имущества и внесены в ЕГРН сведения о 4 894 правообладателях.</w:t>
      </w:r>
    </w:p>
    <w:p>
      <w:pPr>
        <w:pStyle w:val="Normal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uppressLineNumbers w:val="0"/>
        <w:ind w:firstLine="72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</w:rPr>
      </w:pPr>
      <w:r>
        <w:rPr/>
        <w:br/>
      </w:r>
      <w:r>
        <mc:AlternateContent>
          <mc:Choice Requires="wps">
            <w:drawing>
              <wp:anchor behindDoc="0" distT="0" distB="19050" distL="0" distR="19050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000750" cy="635"/>
                <wp:effectExtent l="8255" t="8890" r="8890" b="8255"/>
                <wp:wrapNone/>
                <wp:docPr id="2" name="Прямая со стрелко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840" cy="7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1" path="m0,0l-2147483648,-2147483647e" stroked="t" o:allowincell="f" style="position:absolute;margin-left:0pt;margin-top:0.25pt;width:472.45pt;height:0pt;mso-wrap-style:none;v-text-anchor:middle;mso-position-horizontal:left;mso-position-horizontal-relative:margin" type="_x0000_t32">
                <v:fill o:detectmouseclick="t" on="false"/>
                <v:stroke color="#0070c0" weight="15840" joinstyle="round" endcap="flat"/>
                <w10:wrap type="none"/>
              </v:shape>
            </w:pict>
          </mc:Fallback>
        </mc:AlternateContent>
      </w:r>
      <w:r>
        <w:rPr>
          <w:rFonts w:eastAsia="Arial Unicode MS" w:cs="Segoe UI" w:ascii="Segoe UI" w:hAnsi="Segoe UI"/>
          <w:b/>
          <w:sz w:val="24"/>
          <w:szCs w:val="24"/>
          <w:lang w:eastAsia="sk-SK" w:bidi="hi-IN"/>
        </w:rPr>
        <w:t>О Росреестре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Segoe UI" w:hAnsi="Segoe UI" w:eastAsia="Arial Unicode MS" w:cs="Segoe UI"/>
          <w:sz w:val="18"/>
          <w:szCs w:val="18"/>
          <w:lang w:eastAsia="hi-IN" w:bidi="hi-IN"/>
        </w:rPr>
      </w:pPr>
      <w:r>
        <w:rPr>
          <w:rFonts w:eastAsia="Arial Unicode MS" w:cs="Segoe UI" w:ascii="Segoe UI" w:hAnsi="Segoe UI"/>
          <w:sz w:val="18"/>
          <w:szCs w:val="18"/>
          <w:lang w:eastAsia="hi-IN" w:bidi="hi-IN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ППК «Роскадастр» и ФГБУ «Центр геодезии, картографии и ИПД». </w:t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Nimbus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eastAsia="Arial" w:eastAsiaTheme="minorEastAsia" w:ascii="Calibri" w:hAnsi="Calibri" w:cs="Arial"/>
      <w:color w:val="auto"/>
      <w:kern w:val="0"/>
      <w:sz w:val="22"/>
      <w:szCs w:val="22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lineRule="auto" w:line="259"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9" w:customStyle="1">
    <w:name w:val="Тема примечания Знак"/>
    <w:basedOn w:val="Style8"/>
    <w:uiPriority w:val="99"/>
    <w:semiHidden/>
    <w:qFormat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57" w:before="0" w:after="160"/>
      <w:ind w:start="720"/>
      <w:contextualSpacing/>
    </w:pPr>
    <w:rPr>
      <w:rFonts w:eastAsia="Calibri" w:eastAsiaTheme="minorHAnsi"/>
      <w:lang w:eastAsia="en-US"/>
    </w:rPr>
  </w:style>
  <w:style w:type="paragraph" w:styleId="CommentText">
    <w:name w:val="annotation text"/>
    <w:basedOn w:val="Normal"/>
    <w:uiPriority w:val="99"/>
    <w:semiHidden/>
    <w:unhideWhenUsed/>
    <w:pPr>
      <w:spacing w:lineRule="auto" w:line="240" w:before="0" w:after="160"/>
    </w:pPr>
    <w:rPr>
      <w:rFonts w:eastAsia="Calibri" w:eastAsia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Calibri" w:cs="Times New Roman" w:eastAsia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themeColor="text1" w:val="000000"/>
      <w:spacing w:val="0"/>
      <w:kern w:val="0"/>
      <w:position w:val="0"/>
      <w:sz w:val="28"/>
      <w:sz w:val="28"/>
      <w:szCs w:val="28"/>
      <w:u w:val="none"/>
      <w:vertAlign w:val="baseline"/>
      <w:lang w:val="ru-RU" w:eastAsia="en-US" w:bidi="ar-SA"/>
      <w14:ligatures w14:val="none"/>
    </w:rPr>
  </w:style>
  <w:style w:type="numbering" w:styleId="Style13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LibreOffice/25.8.3.2$Linux_X86_64 LibreOffice_project/580$Build-2</Application>
  <AppVersion>15.0000</AppVersion>
  <Pages>3</Pages>
  <Words>677</Words>
  <Characters>4874</Characters>
  <CharactersWithSpaces>5676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2023-08-16T23:21:00Z</dcterms:created>
  <dc:creator>Пушкарская Диана Дмитриевна</dc:creator>
  <dc:description/>
  <dc:language>ru-RU</dc:language>
  <cp:lastModifiedBy>lazarenkotn</cp:lastModifiedBy>
  <dcterms:modified xsi:type="dcterms:W3CDTF">2026-07-27T05:48:59Z</dcterms:modified>
  <cp:revision>133</cp:revision>
  <dc:subject/>
  <dc:title/>
</cp:coreProperties>
</file>