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/>
        <w:drawing>
          <wp:inline distT="0" distB="0" distL="0" distR="0">
            <wp:extent cx="1984375" cy="7296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                                                                                                                                       </w:t>
      </w:r>
    </w:p>
    <w:p>
      <w:pPr>
        <w:pStyle w:val="NoSpacing"/>
        <w:rPr/>
      </w:pPr>
      <w:r>
        <w:rPr/>
      </w:r>
    </w:p>
    <w:p>
      <w:pPr>
        <w:pStyle w:val="NoSpacing"/>
        <w:jc w:val="end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10.09.2026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Пресс-служба Управления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Росреестра по Приморскому краю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+7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(423)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245-49-23, доб. 1088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br/>
      </w:r>
      <w:r>
        <w:rPr>
          <w:rFonts w:eastAsia="Times New Roman" w:cs="Times New Roman" w:ascii="Times New Roman" w:hAnsi="Times New Roman"/>
          <w:sz w:val="24"/>
          <w:szCs w:val="24"/>
        </w:rPr>
        <w:t>25press_rosreestr@mail.ru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 xml:space="preserve">690091, Владивосток, ул. Посьетская, д. </w:t>
      </w:r>
      <w:r>
        <w:rPr>
          <w:rFonts w:cs="Times New Roman" w:ascii="Times New Roman" w:hAnsi="Times New Roman"/>
          <w:sz w:val="24"/>
          <w:szCs w:val="24"/>
        </w:rPr>
        <w:t>48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spacing w:lineRule="auto" w:line="240" w:beforeAutospacing="0" w:before="0" w:afterAutospacing="0" w:after="0"/>
        <w:jc w:val="both"/>
        <w:rPr>
          <w:rFonts w:ascii="Nimbus Roman" w:hAnsi="Nimbus Roman" w:cs="Nimbus Roman"/>
          <w:b/>
          <w:bCs w:val="false"/>
          <w:i w:val="false"/>
          <w:i w:val="false"/>
          <w:color w:val="273350"/>
          <w:sz w:val="36"/>
          <w:szCs w:val="36"/>
          <w:highlight w:val="none"/>
          <w:u w:val="single"/>
        </w:rPr>
      </w:pPr>
      <w:r>
        <w:rPr>
          <w:rFonts w:cs="Nimbus Roman" w:ascii="Nimbus Roman" w:hAnsi="Nimbus Roman"/>
          <w:b/>
          <w:bCs w:val="false"/>
          <w:i w:val="false"/>
          <w:color w:val="273350"/>
          <w:sz w:val="36"/>
          <w:szCs w:val="36"/>
          <w:u w:val="single"/>
        </w:rPr>
        <w:t>Росреестр упрощает оформление дорог и электросетей в СНТ.</w:t>
      </w:r>
    </w:p>
    <w:p>
      <w:pPr>
        <w:pStyle w:val="Normal"/>
        <w:spacing w:lineRule="exact" w:line="300" w:beforeAutospacing="0" w:before="0" w:afterAutospacing="0" w:after="0"/>
        <w:jc w:val="both"/>
        <w:rPr>
          <w:rFonts w:ascii="Nimbus Roman" w:hAnsi="Nimbus Roman" w:cs="Nimbus Roman"/>
          <w:b/>
          <w:bCs w:val="false"/>
          <w:i w:val="false"/>
          <w:i w:val="false"/>
          <w:color w:val="273350"/>
          <w:sz w:val="28"/>
          <w:szCs w:val="28"/>
          <w:highlight w:val="white"/>
          <w:u w:val="single"/>
        </w:rPr>
      </w:pPr>
      <w:r>
        <w:rPr>
          <w:rFonts w:cs="Nimbus Roman" w:ascii="Nimbus Roman" w:hAnsi="Nimbus Roman"/>
          <w:b/>
          <w:bCs w:val="false"/>
          <w:i w:val="false"/>
          <w:color w:val="273350"/>
          <w:sz w:val="28"/>
          <w:szCs w:val="28"/>
          <w:highlight w:val="white"/>
          <w:u w:val="single"/>
        </w:rPr>
      </w:r>
    </w:p>
    <w:p>
      <w:pPr>
        <w:pStyle w:val="Normal"/>
        <w:pBdr/>
        <w:ind w:hanging="0" w:start="0" w:end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hyperlink r:id="rId3" w:tooltip="https://regulation.gov.ru/projects/161349/">
        <w:r>
          <w:rPr>
            <w:rStyle w:val="Hyperlink"/>
            <w:rFonts w:eastAsia="Times New Roman" w:cs="Times New Roman" w:ascii="Times New Roman" w:hAnsi="Times New Roman"/>
            <w:sz w:val="28"/>
            <w:szCs w:val="28"/>
          </w:rPr>
          <w:t>Росреестр разработал законопроект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, изменяющий алгоритм оформления общего имущества в садоводческих некоммерческих товариществах (СНТ). Документ уже внесен в Правительство РФ. Изменения позволят сократить временные и финансовые затраты садоводов и облегчить процедуру передачи общего имущества в пользование иным лицам или организациям - например, при проведении социальной газификации СНТ.</w:t>
      </w:r>
    </w:p>
    <w:p>
      <w:pPr>
        <w:pStyle w:val="Normal"/>
        <w:pBdr/>
        <w:ind w:hanging="0" w:start="0" w:end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Согласно действующему закону от 29.07.2017 № 217-ФЗ, все имущество внутри СНТ – дороги, линии электропередач, водопроводы, спортивные площадки и мусорные площадки – должно находиться в общей долевой собственности владельцев участков. </w:t>
      </w:r>
    </w:p>
    <w:p>
      <w:pPr>
        <w:pStyle w:val="Normal"/>
        <w:pBdr/>
        <w:ind w:hanging="0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 настоящее время данная процедура характеризуется высокой трудоемкостью и длительными сроками реализации:</w:t>
      </w:r>
    </w:p>
    <w:p>
      <w:pPr>
        <w:pStyle w:val="ListParagraph"/>
        <w:numPr>
          <w:ilvl w:val="0"/>
          <w:numId w:val="2"/>
        </w:numPr>
        <w:pBdr/>
        <w:spacing w:before="0" w:after="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Садоводы обязаны проводить общее собрание членов СНТ.</w:t>
      </w:r>
    </w:p>
    <w:p>
      <w:pPr>
        <w:pStyle w:val="ListParagraph"/>
        <w:numPr>
          <w:ilvl w:val="0"/>
          <w:numId w:val="2"/>
        </w:numPr>
        <w:pBdr/>
        <w:spacing w:before="0" w:after="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Рассчитывать доли каждого собственника в праве общей собственности.</w:t>
      </w:r>
    </w:p>
    <w:p>
      <w:pPr>
        <w:pStyle w:val="ListParagraph"/>
        <w:numPr>
          <w:ilvl w:val="0"/>
          <w:numId w:val="2"/>
        </w:numPr>
        <w:pBdr/>
        <w:spacing w:before="0" w:after="16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Подавать документы в Росреестр и платить государственную пошлину за регистрацию.</w:t>
      </w:r>
    </w:p>
    <w:p>
      <w:pPr>
        <w:pStyle w:val="Normal"/>
        <w:pBdr/>
        <w:ind w:hanging="0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Из-за перечисленных факторов огромная часть инфраструктуры дачных поселков до сих пор юридически не оформлена, что мешает ее ремонту и передаче ресурсоснабжающим организациям.</w:t>
      </w:r>
    </w:p>
    <w:p>
      <w:pPr>
        <w:pStyle w:val="Normal"/>
        <w:pBdr/>
        <w:ind w:hanging="0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 xml:space="preserve">Что изменится после принятия законопроекта?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Право собственности садоводов на общее имущество СНТ будет возникать в силу закона с момента его постановки на кадастровый учет в Росреестре - по аналогии с общим имуществом собственников помещений в многоквартирных домах.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Государственная регистрация прав для этого больше не потребуется.</w:t>
      </w:r>
    </w:p>
    <w:p>
      <w:pPr>
        <w:pStyle w:val="Normal"/>
        <w:pBdr/>
        <w:ind w:hanging="0" w:start="0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Bdr/>
        <w:ind w:hanging="0" w:start="0" w:end="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pBdr/>
        <w:ind w:hanging="0" w:start="0" w:end="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Главные нововведения:</w:t>
      </w:r>
    </w:p>
    <w:p>
      <w:pPr>
        <w:pStyle w:val="ListParagraph"/>
        <w:numPr>
          <w:ilvl w:val="0"/>
          <w:numId w:val="1"/>
        </w:numPr>
        <w:pBdr/>
        <w:spacing w:before="0" w:after="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Отмена общих собраний.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Садоводам больше не нужно проводить собрания, чтобы проголосовать за передачу дорог или ЛЭП в общую собственность.</w:t>
      </w:r>
    </w:p>
    <w:p>
      <w:pPr>
        <w:pStyle w:val="ListParagraph"/>
        <w:numPr>
          <w:ilvl w:val="0"/>
          <w:numId w:val="1"/>
        </w:numPr>
        <w:pBdr/>
        <w:spacing w:before="0" w:after="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Никаких расчетов долей.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Сложная математическая процедура определения размера доли каждого владельца участка уйдет в прошлое.</w:t>
      </w:r>
    </w:p>
    <w:p>
      <w:pPr>
        <w:pStyle w:val="ListParagraph"/>
        <w:numPr>
          <w:ilvl w:val="0"/>
          <w:numId w:val="1"/>
        </w:numPr>
        <w:pBdr/>
        <w:spacing w:before="0" w:after="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Отсутствие пошлины.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Оформление прав станет бесплатным, так как сама необходимость регистрации права исчезнет. </w:t>
      </w:r>
    </w:p>
    <w:p>
      <w:pPr>
        <w:pStyle w:val="ListParagraph"/>
        <w:numPr>
          <w:ilvl w:val="0"/>
          <w:numId w:val="1"/>
        </w:numPr>
        <w:pBdr/>
        <w:spacing w:before="0" w:after="160"/>
        <w:ind w:hanging="360" w:start="709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Упрощение расширения границ.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Законопроект также регулирует включение новых участков в состав СНТ. Теперь для этого потребуется обязательное согласие собственников присоединяемых земель. Это защитит их от принудительного включения в товарищество и появления расходов на содержание чужого имущества.</w:t>
      </w:r>
    </w:p>
    <w:p>
      <w:pPr>
        <w:pStyle w:val="Normal"/>
        <w:pBdr/>
        <w:ind w:hanging="0" w:start="0" w:end="0"/>
        <w:jc w:val="both"/>
        <w:rPr>
          <w:bCs/>
          <w:i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</w:rPr>
        <w:t>Как отмечает заместитель руководителя Управления Росреестра по Приморскому края Евгений Санин, инициатива разработана по поручению Правительственной комиссии по вопросам развития садоводства. Упрощенный режим позволит легализовать инфраструктуру тысяч СНТ и беспрепятственно передавать ее в пользование электросетевым и газовым компаниям. Это особенно важно для программ догазификации садовых товариществ, где отсутствие оформленных прав на землю под трубами часто становилось непреодолимым препятствием.</w:t>
      </w:r>
    </w:p>
    <w:p>
      <w:pPr>
        <w:pStyle w:val="Normal"/>
        <w:pBdr/>
        <w:ind w:hanging="0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Законопроект предполагает внесение поправок в Федеральный закон о садоводстве № 217-ФЗ. После прохождения всех этапов согласования новые правила позволят владельцам загородной недвижимости экономить время и средства.</w:t>
      </w:r>
    </w:p>
    <w:p>
      <w:pPr>
        <w:pStyle w:val="Normal"/>
        <w:pBdr/>
        <w:ind w:hanging="0" w:start="0" w:end="0"/>
        <w:jc w:val="both"/>
        <w:rPr>
          <w:rFonts w:ascii="Times New Roman" w:hAnsi="Times New Roman" w:cs="Times New Roman"/>
          <w:bCs/>
          <w:i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 xml:space="preserve">«Появление законопроекта, упрощающего оформление прав на общее имущество СНТ, отличная новость для всех садоводов. Больше никакой неопределенности с дорогами и проводами. Власти поняли нашу главную проблему и предложили простое решение. Это реальный шаг к тому, чтобы навести у нас порядок. Ждем окончательное вступление в законное действие такой инициативы», – делится мнением председатель межрегионального отделения Общероссийской общественной организации «Союз садоводов России» в Приморском крае Сергей Морозов. </w:t>
      </w:r>
    </w:p>
    <w:p>
      <w:pPr>
        <w:pStyle w:val="Normal"/>
        <w:jc w:val="both"/>
        <w:rPr>
          <w:rFonts w:ascii="Times New Roman" w:hAnsi="Times New Roman" w:eastAsia="Times New Roman" w:cs="Times New Roman"/>
          <w:i/>
          <w:i/>
          <w:iCs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suppressLineNumbers w:val="0"/>
        <w:ind w:firstLine="720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  <w:highlight w:val="none"/>
        </w:rPr>
      </w:pPr>
      <w:r>
        <w:rPr/>
        <w:br/>
      </w:r>
      <w:r>
        <mc:AlternateContent>
          <mc:Choice Requires="wps">
            <w:drawing>
              <wp:anchor behindDoc="0" distT="0" distB="19050" distL="0" distR="19050" simplePos="0" locked="0" layoutInCell="0" allowOverlap="1" relativeHeight="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000750" cy="635"/>
                <wp:effectExtent l="8255" t="8890" r="8890" b="8255"/>
                <wp:wrapNone/>
                <wp:docPr id="2" name="Прямая со стрелкой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840" cy="7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1" path="m0,0l-2147483648,-2147483647e" stroked="t" o:allowincell="f" style="position:absolute;margin-left:0pt;margin-top:0.25pt;width:472.45pt;height:0pt;mso-wrap-style:none;v-text-anchor:middle;mso-position-horizontal:left;mso-position-horizontal-relative:margin" type="_x0000_t32">
                <v:fill o:detectmouseclick="t" on="false"/>
                <v:stroke color="#0070c0" weight="15840" joinstyle="round" endcap="flat"/>
                <w10:wrap type="none"/>
              </v:shape>
            </w:pict>
          </mc:Fallback>
        </mc:AlternateContent>
      </w:r>
      <w:r>
        <w:rPr>
          <w:rFonts w:eastAsia="Arial Unicode MS" w:cs="Segoe UI" w:ascii="Segoe UI" w:hAnsi="Segoe UI"/>
          <w:b/>
          <w:sz w:val="24"/>
          <w:szCs w:val="24"/>
          <w:lang w:eastAsia="sk-SK" w:bidi="hi-IN"/>
        </w:rPr>
        <w:t>О Росреестре</w:t>
      </w:r>
    </w:p>
    <w:p>
      <w:pPr>
        <w:pStyle w:val="Normal"/>
        <w:widowControl w:val="false"/>
        <w:spacing w:lineRule="auto" w:line="240" w:before="240" w:after="240"/>
        <w:jc w:val="both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eastAsia="Arial Unicode MS" w:cs="Segoe UI" w:ascii="Segoe UI" w:hAnsi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ППК «Роскадастр» и ФГБУ «Центр геодезии, картографии и ИПД». </w:t>
      </w:r>
    </w:p>
    <w:sectPr>
      <w:type w:val="nextPage"/>
      <w:pgSz w:w="11906" w:h="16838"/>
      <w:pgMar w:left="1701" w:right="850" w:gutter="0" w:header="0" w:top="56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Nimbus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lvlText w:val="%1."/>
      <w:lvlJc w:val="end"/>
      <w:pPr>
        <w:tabs>
          <w:tab w:val="num" w:pos="0"/>
        </w:tabs>
        <w:ind w:start="709" w:hanging="360"/>
      </w:pPr>
      <w:rPr>
        <w:sz w:val="24"/>
        <w:rFonts w:ascii="Times New Roman" w:hAnsi="Times New Roman" w:eastAsia="Times New Roman" w:cs="Times New Roman"/>
        <w:color w:val="000000"/>
      </w:rPr>
    </w:lvl>
    <w:lvl w:ilvl="1">
      <w:start w:val="1"/>
      <w:isLgl/>
      <w:numFmt w:val="decimal"/>
      <w:lvlText w:val="%2."/>
      <w:lvlJc w:val="end"/>
      <w:pPr>
        <w:tabs>
          <w:tab w:val="num" w:pos="0"/>
        </w:tabs>
        <w:ind w:start="1429" w:hanging="360"/>
      </w:pPr>
      <w:rPr/>
    </w:lvl>
    <w:lvl w:ilvl="2">
      <w:start w:val="1"/>
      <w:isLgl/>
      <w:numFmt w:val="decimal"/>
      <w:lvlText w:val="%3."/>
      <w:lvlJc w:val="end"/>
      <w:pPr>
        <w:tabs>
          <w:tab w:val="num" w:pos="0"/>
        </w:tabs>
        <w:ind w:start="2149" w:hanging="180"/>
      </w:pPr>
      <w:rPr/>
    </w:lvl>
    <w:lvl w:ilvl="3">
      <w:start w:val="1"/>
      <w:isLgl/>
      <w:numFmt w:val="decimal"/>
      <w:lvlText w:val="%4."/>
      <w:lvlJc w:val="end"/>
      <w:pPr>
        <w:tabs>
          <w:tab w:val="num" w:pos="0"/>
        </w:tabs>
        <w:ind w:start="2869" w:hanging="360"/>
      </w:pPr>
      <w:rPr/>
    </w:lvl>
    <w:lvl w:ilvl="4">
      <w:start w:val="1"/>
      <w:isLgl/>
      <w:numFmt w:val="decimal"/>
      <w:lvlText w:val="%5."/>
      <w:lvlJc w:val="end"/>
      <w:pPr>
        <w:tabs>
          <w:tab w:val="num" w:pos="0"/>
        </w:tabs>
        <w:ind w:start="3589" w:hanging="360"/>
      </w:pPr>
      <w:rPr/>
    </w:lvl>
    <w:lvl w:ilvl="5">
      <w:start w:val="1"/>
      <w:isLgl/>
      <w:numFmt w:val="decimal"/>
      <w:lvlText w:val="%6."/>
      <w:lvlJc w:val="end"/>
      <w:pPr>
        <w:tabs>
          <w:tab w:val="num" w:pos="0"/>
        </w:tabs>
        <w:ind w:start="4309" w:hanging="180"/>
      </w:pPr>
      <w:rPr/>
    </w:lvl>
    <w:lvl w:ilvl="6">
      <w:start w:val="1"/>
      <w:isLgl/>
      <w:numFmt w:val="decimal"/>
      <w:lvlText w:val="%7."/>
      <w:lvlJc w:val="end"/>
      <w:pPr>
        <w:tabs>
          <w:tab w:val="num" w:pos="0"/>
        </w:tabs>
        <w:ind w:start="5029" w:hanging="360"/>
      </w:pPr>
      <w:rPr/>
    </w:lvl>
    <w:lvl w:ilvl="7">
      <w:start w:val="1"/>
      <w:isLgl/>
      <w:numFmt w:val="decimal"/>
      <w:lvlText w:val="%8."/>
      <w:lvlJc w:val="end"/>
      <w:pPr>
        <w:tabs>
          <w:tab w:val="num" w:pos="0"/>
        </w:tabs>
        <w:ind w:start="5749" w:hanging="360"/>
      </w:pPr>
      <w:rPr/>
    </w:lvl>
    <w:lvl w:ilvl="8">
      <w:start w:val="1"/>
      <w:isLgl/>
      <w:numFmt w:val="decimal"/>
      <w:lvlText w:val="%9."/>
      <w:lvlJc w:val="end"/>
      <w:pPr>
        <w:tabs>
          <w:tab w:val="num" w:pos="0"/>
        </w:tabs>
        <w:ind w:start="6469" w:hanging="180"/>
      </w:pPr>
      <w:rPr/>
    </w:lvl>
  </w:abstractNum>
  <w:abstractNum w:abstractNumId="2">
    <w:lvl w:ilvl="0">
      <w:start w:val="1"/>
      <w:isLgl/>
      <w:numFmt w:val="decimal"/>
      <w:lvlText w:val="%1."/>
      <w:lvlJc w:val="start"/>
      <w:pPr>
        <w:tabs>
          <w:tab w:val="num" w:pos="0"/>
        </w:tabs>
        <w:ind w:start="709" w:hanging="360"/>
      </w:pPr>
      <w:rPr/>
    </w:lvl>
    <w:lvl w:ilvl="1">
      <w:start w:val="1"/>
      <w:isLgl/>
      <w:numFmt w:val="lowerLetter"/>
      <w:lvlText w:val="%2."/>
      <w:lvlJc w:val="start"/>
      <w:pPr>
        <w:tabs>
          <w:tab w:val="num" w:pos="0"/>
        </w:tabs>
        <w:ind w:start="1429" w:hanging="360"/>
      </w:pPr>
      <w:rPr/>
    </w:lvl>
    <w:lvl w:ilvl="2">
      <w:start w:val="1"/>
      <w:isLgl/>
      <w:numFmt w:val="lowerRoman"/>
      <w:lvlText w:val="%3."/>
      <w:lvlJc w:val="end"/>
      <w:pPr>
        <w:tabs>
          <w:tab w:val="num" w:pos="0"/>
        </w:tabs>
        <w:ind w:start="2149" w:hanging="180"/>
      </w:pPr>
      <w:rPr/>
    </w:lvl>
    <w:lvl w:ilvl="3">
      <w:start w:val="1"/>
      <w:isLgl/>
      <w:numFmt w:val="decimal"/>
      <w:lvlText w:val="%4."/>
      <w:lvlJc w:val="start"/>
      <w:pPr>
        <w:tabs>
          <w:tab w:val="num" w:pos="0"/>
        </w:tabs>
        <w:ind w:start="2869" w:hanging="360"/>
      </w:pPr>
      <w:rPr/>
    </w:lvl>
    <w:lvl w:ilvl="4">
      <w:start w:val="1"/>
      <w:isLgl/>
      <w:numFmt w:val="lowerLetter"/>
      <w:lvlText w:val="%5."/>
      <w:lvlJc w:val="start"/>
      <w:pPr>
        <w:tabs>
          <w:tab w:val="num" w:pos="0"/>
        </w:tabs>
        <w:ind w:start="3589" w:hanging="360"/>
      </w:pPr>
      <w:rPr/>
    </w:lvl>
    <w:lvl w:ilvl="5">
      <w:start w:val="1"/>
      <w:isLgl/>
      <w:numFmt w:val="lowerRoman"/>
      <w:lvlText w:val="%6."/>
      <w:lvlJc w:val="end"/>
      <w:pPr>
        <w:tabs>
          <w:tab w:val="num" w:pos="0"/>
        </w:tabs>
        <w:ind w:start="4309" w:hanging="180"/>
      </w:pPr>
      <w:rPr/>
    </w:lvl>
    <w:lvl w:ilvl="6">
      <w:start w:val="1"/>
      <w:isLgl/>
      <w:numFmt w:val="decimal"/>
      <w:lvlText w:val="%7."/>
      <w:lvlJc w:val="start"/>
      <w:pPr>
        <w:tabs>
          <w:tab w:val="num" w:pos="0"/>
        </w:tabs>
        <w:ind w:start="5029" w:hanging="360"/>
      </w:pPr>
      <w:rPr/>
    </w:lvl>
    <w:lvl w:ilvl="7">
      <w:start w:val="1"/>
      <w:isLgl/>
      <w:numFmt w:val="lowerLetter"/>
      <w:lvlText w:val="%8."/>
      <w:lvlJc w:val="start"/>
      <w:pPr>
        <w:tabs>
          <w:tab w:val="num" w:pos="0"/>
        </w:tabs>
        <w:ind w:start="5749" w:hanging="360"/>
      </w:pPr>
      <w:rPr/>
    </w:lvl>
    <w:lvl w:ilvl="8">
      <w:start w:val="1"/>
      <w:isLgl/>
      <w:numFmt w:val="lowerRoman"/>
      <w:lvlText w:val="%9."/>
      <w:lvlJc w:val="end"/>
      <w:pPr>
        <w:tabs>
          <w:tab w:val="num" w:pos="0"/>
        </w:tabs>
        <w:ind w:start="646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start"/>
    </w:pPr>
    <w:rPr>
      <w:rFonts w:eastAsia="Arial" w:eastAsiaTheme="minorEastAsia" w:ascii="Calibri" w:hAnsi="Calibri" w:cs="Arial"/>
      <w:color w:val="auto"/>
      <w:kern w:val="0"/>
      <w:sz w:val="22"/>
      <w:szCs w:val="22"/>
      <w:lang w:eastAsia="ru-RU" w:val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lineRule="auto" w:line="259" w:before="240" w:after="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9" w:customStyle="1">
    <w:name w:val="Тема примечания Знак"/>
    <w:basedOn w:val="Style8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start="720" w:end="720"/>
    </w:pPr>
    <w:rPr>
      <w:i/>
    </w:rPr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start="0" w:end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start="283" w:end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start="567" w:end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start="850" w:end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start="1134" w:end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start="1417" w:end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start="1701" w:end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start="1984" w:end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start="2268" w:end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eastAsia="Calibri" w:cs="Segoe UI" w:eastAsiaTheme="minorHAnsi"/>
      <w:sz w:val="18"/>
      <w:szCs w:val="18"/>
      <w:lang w:eastAsia="en-U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lineRule="auto" w:line="257" w:before="0" w:after="160"/>
      <w:ind w:start="720"/>
      <w:contextualSpacing/>
    </w:pPr>
    <w:rPr>
      <w:rFonts w:eastAsia="Calibri" w:eastAsiaTheme="minorHAnsi"/>
      <w:lang w:eastAsia="en-US"/>
    </w:rPr>
  </w:style>
  <w:style w:type="paragraph" w:styleId="CommentText">
    <w:name w:val="annotation text"/>
    <w:basedOn w:val="Normal"/>
    <w:uiPriority w:val="99"/>
    <w:semiHidden/>
    <w:unhideWhenUsed/>
    <w:pPr>
      <w:spacing w:lineRule="auto" w:line="240" w:before="0" w:after="160"/>
    </w:pPr>
    <w:rPr>
      <w:rFonts w:eastAsia="Calibri" w:eastAsiaTheme="minorHAnsi"/>
      <w:sz w:val="20"/>
      <w:szCs w:val="20"/>
      <w:lang w:eastAsia="en-US"/>
    </w:rPr>
  </w:style>
  <w:style w:type="paragraph" w:styleId="annotationsubject">
    <w:name w:val="annotation subject"/>
    <w:basedOn w:val="CommentText"/>
    <w:uiPriority w:val="99"/>
    <w:semiHidden/>
    <w:unhideWhenUsed/>
    <w:qFormat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Calibri" w:cs="Times New Roman" w:eastAsiaTheme="minorHAns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themeColor="text1" w:val="000000"/>
      <w:spacing w:val="0"/>
      <w:kern w:val="0"/>
      <w:position w:val="0"/>
      <w:sz w:val="28"/>
      <w:sz w:val="28"/>
      <w:szCs w:val="28"/>
      <w:u w:val="none"/>
      <w:vertAlign w:val="baseline"/>
      <w:lang w:val="ru-RU" w:eastAsia="en-US" w:bidi="ar-SA"/>
      <w14:ligatures w14:val="none"/>
    </w:rPr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regulation.gov.ru/projects/161349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2</Pages>
  <Words>540</Words>
  <Characters>4005</Characters>
  <CharactersWithSpaces>4658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2023-08-16T23:21:00Z</dcterms:created>
  <dc:creator>Пушкарская Диана Дмитриевна</dc:creator>
  <dc:description/>
  <dc:language>ru-RU</dc:language>
  <cp:lastModifiedBy>lazarenkotn</cp:lastModifiedBy>
  <dcterms:modified xsi:type="dcterms:W3CDTF">2026-09-09T22:51:28Z</dcterms:modified>
  <cp:revision>134</cp:revision>
  <dc:subject/>
  <dc:title/>
</cp:coreProperties>
</file>